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spacing w:after="200"/>
        <w:jc w:val="center"/>
      </w:pPr>
      <w:r>
        <w:rPr>
          <w:rFonts w:ascii="Arial" w:cs="Arial" w:eastAsia="Arial" w:hAnsi="Arial"/>
          <w:b/>
          <w:bCs/>
          <w:color w:val="0F2044"/>
          <w:sz w:val="72"/>
          <w:szCs w:val="72"/>
        </w:rPr>
        <w:t xml:space="preserve">HandUp</w:t>
      </w:r>
    </w:p>
    <w:p>
      <w:pPr>
        <w:spacing w:after="600"/>
        <w:jc w:val="center"/>
      </w:pPr>
      <w:r>
        <w:rPr>
          <w:rFonts w:ascii="Arial" w:cs="Arial" w:eastAsia="Arial" w:hAnsi="Arial"/>
          <w:color w:val="D4A843"/>
          <w:sz w:val="28"/>
          <w:szCs w:val="28"/>
        </w:rPr>
        <w:t xml:space="preserve">P2P Lending Platform</w:t>
      </w:r>
    </w:p>
    <w:p>
      <w:pPr>
        <w:spacing w:after="100"/>
        <w:jc w:val="center"/>
      </w:pPr>
      <w:r>
        <w:rPr>
          <w:rFonts w:ascii="Arial" w:cs="Arial" w:eastAsia="Arial" w:hAnsi="Arial"/>
          <w:b/>
          <w:bCs/>
          <w:color w:val="0F2044"/>
          <w:sz w:val="48"/>
          <w:szCs w:val="48"/>
        </w:rPr>
        <w:t xml:space="preserve">Information Security Policy</w:t>
      </w:r>
    </w:p>
    <w:p>
      <w:pPr>
        <w:spacing w:after="100"/>
        <w:jc w:val="center"/>
      </w:pPr>
      <w:r>
        <w:rPr>
          <w:rFonts w:ascii="Arial" w:cs="Arial" w:eastAsia="Arial" w:hAnsi="Arial"/>
          <w:b/>
          <w:bCs/>
          <w:color w:val="0F2044"/>
          <w:sz w:val="48"/>
          <w:szCs w:val="48"/>
        </w:rPr>
        <w:t xml:space="preserve">&amp; Procedures</w:t>
      </w:r>
    </w:p>
    <w:p>
      <w:pPr>
        <w:spacing w:before="800"/>
      </w:pPr>
    </w:p>
    <w:p>
      <w:pPr>
        <w:spacing w:after="100"/>
        <w:jc w:val="center"/>
      </w:pPr>
      <w:r>
        <w:rPr>
          <w:rFonts w:ascii="Arial" w:cs="Arial" w:eastAsia="Arial" w:hAnsi="Arial"/>
          <w:color w:val="6B7280"/>
          <w:sz w:val="24"/>
          <w:szCs w:val="24"/>
        </w:rPr>
        <w:t xml:space="preserve">Version 1.0</w:t>
      </w:r>
    </w:p>
    <w:p>
      <w:pPr>
        <w:spacing w:after="100"/>
        <w:jc w:val="center"/>
      </w:pPr>
      <w:r>
        <w:rPr>
          <w:rFonts w:ascii="Arial" w:cs="Arial" w:eastAsia="Arial" w:hAnsi="Arial"/>
          <w:color w:val="6B7280"/>
          <w:sz w:val="24"/>
          <w:szCs w:val="24"/>
        </w:rPr>
        <w:t xml:space="preserve">Effective Date: April 12, 2026</w:t>
      </w:r>
    </w:p>
    <w:p>
      <w:pPr>
        <w:spacing w:after="100"/>
        <w:jc w:val="center"/>
      </w:pPr>
      <w:r>
        <w:rPr>
          <w:rFonts w:ascii="Arial" w:cs="Arial" w:eastAsia="Arial" w:hAnsi="Arial"/>
          <w:color w:val="6B7280"/>
          <w:sz w:val="24"/>
          <w:szCs w:val="24"/>
        </w:rPr>
        <w:t xml:space="preserve">Classification: Confidential</w:t>
      </w:r>
    </w:p>
    <w:p>
      <w:pPr>
        <w:sectPr>
          <w:pgSz w:w="12240" w:h="15840" w:orient="portrait"/>
          <w:pgMar w:top="1440" w:right="1440" w:bottom="1440" w:left="1440" w:header="708" w:footer="708" w:gutter="0"/>
          <w:pgNumType/>
          <w:docGrid w:linePitch="360"/>
        </w:sectPr>
      </w:pPr>
    </w:p>
    <w:p>
      <w:pPr>
        <w:pStyle w:val="Heading1"/>
        <w:spacing w:after="200" w:before="360"/>
      </w:pPr>
      <w:r>
        <w:rPr>
          <w:rFonts w:ascii="Arial" w:cs="Arial" w:eastAsia="Arial" w:hAnsi="Arial"/>
          <w:b/>
          <w:bCs/>
          <w:color w:val="0F2044"/>
          <w:sz w:val="32"/>
          <w:szCs w:val="32"/>
        </w:rPr>
        <w:t xml:space="preserve">Version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2000"/>
        <w:gridCol w:w="2000"/>
        <w:gridCol w:w="3860"/>
      </w:tblGrid>
      <w:tr>
        <w:tc>
          <w:tcPr>
            <w:tcW w:type="dxa" w:w="1500"/>
            <w:tcBorders>
              <w:top w:val="single" w:color="CCCCCC" w:sz="1"/>
              <w:left w:val="single" w:color="CCCCCC" w:sz="1"/>
              <w:bottom w:val="single" w:color="CCCCCC" w:sz="1"/>
              <w:right w:val="single" w:color="CCCCCC" w:sz="1"/>
            </w:tcBorders>
            <w:shd w:fill="0F2044"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2000"/>
            <w:tcBorders>
              <w:top w:val="single" w:color="CCCCCC" w:sz="1"/>
              <w:left w:val="single" w:color="CCCCCC" w:sz="1"/>
              <w:bottom w:val="single" w:color="CCCCCC" w:sz="1"/>
              <w:right w:val="single" w:color="CCCCCC" w:sz="1"/>
            </w:tcBorders>
            <w:shd w:fill="0F2044" w:val="clear"/>
            <w:tcMar>
              <w:top w:type="dxa" w:w="80"/>
              <w:left w:type="dxa" w:w="120"/>
              <w:bottom w:type="dxa" w:w="80"/>
              <w:right w:type="dxa" w:w="120"/>
            </w:tcMar>
          </w:tcPr>
          <w:p>
            <w:r>
              <w:rPr>
                <w:rFonts w:ascii="Arial" w:cs="Arial" w:eastAsia="Arial" w:hAnsi="Arial"/>
                <w:b/>
                <w:bCs/>
                <w:color w:val="FFFFFF"/>
                <w:sz w:val="20"/>
                <w:szCs w:val="20"/>
              </w:rPr>
              <w:t xml:space="preserve">Date</w:t>
            </w:r>
          </w:p>
        </w:tc>
        <w:tc>
          <w:tcPr>
            <w:tcW w:type="dxa" w:w="2000"/>
            <w:tcBorders>
              <w:top w:val="single" w:color="CCCCCC" w:sz="1"/>
              <w:left w:val="single" w:color="CCCCCC" w:sz="1"/>
              <w:bottom w:val="single" w:color="CCCCCC" w:sz="1"/>
              <w:right w:val="single" w:color="CCCCCC" w:sz="1"/>
            </w:tcBorders>
            <w:shd w:fill="0F2044" w:val="clear"/>
            <w:tcMar>
              <w:top w:type="dxa" w:w="80"/>
              <w:left w:type="dxa" w:w="120"/>
              <w:bottom w:type="dxa" w:w="80"/>
              <w:right w:type="dxa" w:w="120"/>
            </w:tcMar>
          </w:tcPr>
          <w:p>
            <w:r>
              <w:rPr>
                <w:rFonts w:ascii="Arial" w:cs="Arial" w:eastAsia="Arial" w:hAnsi="Arial"/>
                <w:b/>
                <w:bCs/>
                <w:color w:val="FFFFFF"/>
                <w:sz w:val="20"/>
                <w:szCs w:val="20"/>
              </w:rPr>
              <w:t xml:space="preserve">Author</w:t>
            </w:r>
          </w:p>
        </w:tc>
        <w:tc>
          <w:tcPr>
            <w:tcW w:type="dxa" w:w="3860"/>
            <w:tcBorders>
              <w:top w:val="single" w:color="CCCCCC" w:sz="1"/>
              <w:left w:val="single" w:color="CCCCCC" w:sz="1"/>
              <w:bottom w:val="single" w:color="CCCCCC" w:sz="1"/>
              <w:right w:val="single" w:color="CCCCCC" w:sz="1"/>
            </w:tcBorders>
            <w:shd w:fill="0F2044"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April 12, 2026</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HandUp Security</w:t>
            </w:r>
          </w:p>
        </w:tc>
        <w:tc>
          <w:tcPr>
            <w:tcW w:type="dxa" w:w="3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Initial release</w:t>
            </w:r>
          </w:p>
        </w:tc>
      </w:tr>
    </w:tbl>
    <w:p>
      <w:r>
        <w:br w:type="page"/>
      </w:r>
    </w:p>
    <w:p>
      <w:pPr>
        <w:pStyle w:val="Heading1"/>
        <w:spacing w:after="200" w:before="360"/>
      </w:pPr>
      <w:r>
        <w:rPr>
          <w:rFonts w:ascii="Arial" w:cs="Arial" w:eastAsia="Arial" w:hAnsi="Arial"/>
          <w:b/>
          <w:bCs/>
          <w:color w:val="0F2044"/>
          <w:sz w:val="32"/>
          <w:szCs w:val="32"/>
        </w:rPr>
        <w:t xml:space="preserve">Table of Contents</w:t>
      </w:r>
    </w:p>
    <w:sdt>
      <w:sdtPr>
        <w:alias w:val="Table of Contents"/>
      </w:sdtPr>
      <w:sdtContent>
        <w:p>
          <w:r>
            <w:fldChar w:fldCharType="begin" w:dirty="true"/>
            <w:instrText xml:space="preserve">TOC \h \o "1-2"</w:instrText>
            <w:fldChar w:fldCharType="separate"/>
          </w:r>
        </w:p>
        <w:p>
          <w:r>
            <w:fldChar w:fldCharType="end"/>
          </w:r>
        </w:p>
      </w:sdtContent>
    </w:sdt>
    <w:p>
      <w:r>
        <w:br w:type="page"/>
      </w:r>
    </w:p>
    <w:p>
      <w:pPr>
        <w:pStyle w:val="Heading1"/>
        <w:spacing w:after="200" w:before="360"/>
      </w:pPr>
      <w:r>
        <w:rPr>
          <w:rFonts w:ascii="Arial" w:cs="Arial" w:eastAsia="Arial" w:hAnsi="Arial"/>
          <w:b/>
          <w:bCs/>
          <w:color w:val="0F2044"/>
          <w:sz w:val="32"/>
          <w:szCs w:val="32"/>
        </w:rPr>
        <w:t xml:space="preserve">1. Purpose and Scope</w:t>
      </w:r>
    </w:p>
    <w:p>
      <w:pPr>
        <w:spacing w:after="160"/>
      </w:pPr>
      <w:r>
        <w:rPr>
          <w:rFonts w:ascii="Arial" w:cs="Arial" w:eastAsia="Arial" w:hAnsi="Arial"/>
          <w:color w:val="111827"/>
          <w:sz w:val="22"/>
          <w:szCs w:val="22"/>
        </w:rPr>
        <w:t xml:space="preserve">This Information Security Policy establishes the security framework, standards, and procedures that govern the protection of information assets at HandUp. HandUp operates a peer-to-peer lending platform that facilitates structured loans between friends and family, processing sensitive personal and financial data that must be protected in accordance with applicable laws and industry best practices.</w:t>
      </w:r>
    </w:p>
    <w:p>
      <w:pPr>
        <w:spacing w:after="160"/>
      </w:pPr>
      <w:r>
        <w:rPr>
          <w:rFonts w:ascii="Arial" w:cs="Arial" w:eastAsia="Arial" w:hAnsi="Arial"/>
          <w:color w:val="111827"/>
          <w:sz w:val="22"/>
          <w:szCs w:val="22"/>
        </w:rPr>
        <w:t xml:space="preserve">This policy applies to all HandUp systems, personnel, contractors, and third-party service providers who access, process, store, or transmit HandUp data. It covers all environments including production, staging, and development.</w:t>
      </w:r>
    </w:p>
    <w:p>
      <w:pPr>
        <w:pStyle w:val="Heading2"/>
        <w:spacing w:after="160" w:before="280"/>
      </w:pPr>
      <w:r>
        <w:rPr>
          <w:rFonts w:ascii="Arial" w:cs="Arial" w:eastAsia="Arial" w:hAnsi="Arial"/>
          <w:b/>
          <w:bCs/>
          <w:color w:val="0F2044"/>
          <w:sz w:val="26"/>
          <w:szCs w:val="26"/>
        </w:rPr>
        <w:t xml:space="preserve">1.1 Objectives</w:t>
      </w:r>
    </w:p>
    <w:p>
      <w:pPr>
        <w:pStyle w:val="ListParagraph"/>
        <w:numPr>
          <w:ilvl w:val="0"/>
          <w:numId w:val="2"/>
        </w:numPr>
        <w:spacing w:after="80"/>
      </w:pPr>
      <w:r>
        <w:rPr>
          <w:rFonts w:ascii="Arial" w:cs="Arial" w:eastAsia="Arial" w:hAnsi="Arial"/>
          <w:color w:val="111827"/>
          <w:sz w:val="22"/>
          <w:szCs w:val="22"/>
        </w:rPr>
        <w:t xml:space="preserve">Protect the confidentiality, integrity, and availability of customer data and financial information</w:t>
      </w:r>
    </w:p>
    <w:p>
      <w:pPr>
        <w:pStyle w:val="ListParagraph"/>
        <w:numPr>
          <w:ilvl w:val="0"/>
          <w:numId w:val="2"/>
        </w:numPr>
        <w:spacing w:after="80"/>
      </w:pPr>
      <w:r>
        <w:rPr>
          <w:rFonts w:ascii="Arial" w:cs="Arial" w:eastAsia="Arial" w:hAnsi="Arial"/>
          <w:color w:val="111827"/>
          <w:sz w:val="22"/>
          <w:szCs w:val="22"/>
        </w:rPr>
        <w:t xml:space="preserve">Ensure compliance with applicable federal and state regulations, including GLBA, FCRA, and state money transmitter laws</w:t>
      </w:r>
    </w:p>
    <w:p>
      <w:pPr>
        <w:pStyle w:val="ListParagraph"/>
        <w:numPr>
          <w:ilvl w:val="0"/>
          <w:numId w:val="2"/>
        </w:numPr>
        <w:spacing w:after="80"/>
      </w:pPr>
      <w:r>
        <w:rPr>
          <w:rFonts w:ascii="Arial" w:cs="Arial" w:eastAsia="Arial" w:hAnsi="Arial"/>
          <w:color w:val="111827"/>
          <w:sz w:val="22"/>
          <w:szCs w:val="22"/>
        </w:rPr>
        <w:t xml:space="preserve">Establish accountability for information security across all operational areas</w:t>
      </w:r>
    </w:p>
    <w:p>
      <w:pPr>
        <w:pStyle w:val="ListParagraph"/>
        <w:numPr>
          <w:ilvl w:val="0"/>
          <w:numId w:val="2"/>
        </w:numPr>
        <w:spacing w:after="80"/>
      </w:pPr>
      <w:r>
        <w:rPr>
          <w:rFonts w:ascii="Arial" w:cs="Arial" w:eastAsia="Arial" w:hAnsi="Arial"/>
          <w:color w:val="111827"/>
          <w:sz w:val="22"/>
          <w:szCs w:val="22"/>
        </w:rPr>
        <w:t xml:space="preserve">Define incident response procedures for timely detection, containment, and resolution of security events</w:t>
      </w:r>
    </w:p>
    <w:p>
      <w:pPr>
        <w:pStyle w:val="ListParagraph"/>
        <w:numPr>
          <w:ilvl w:val="0"/>
          <w:numId w:val="2"/>
        </w:numPr>
        <w:spacing w:after="80"/>
      </w:pPr>
      <w:r>
        <w:rPr>
          <w:rFonts w:ascii="Arial" w:cs="Arial" w:eastAsia="Arial" w:hAnsi="Arial"/>
          <w:color w:val="111827"/>
          <w:sz w:val="22"/>
          <w:szCs w:val="22"/>
        </w:rPr>
        <w:t xml:space="preserve">Maintain trust with users, partners, and regulators through demonstrable security practices</w:t>
      </w:r>
    </w:p>
    <w:p>
      <w:pPr>
        <w:pStyle w:val="Heading1"/>
        <w:spacing w:after="200" w:before="360"/>
      </w:pPr>
      <w:r>
        <w:rPr>
          <w:rFonts w:ascii="Arial" w:cs="Arial" w:eastAsia="Arial" w:hAnsi="Arial"/>
          <w:b/>
          <w:bCs/>
          <w:color w:val="0F2044"/>
          <w:sz w:val="32"/>
          <w:szCs w:val="32"/>
        </w:rPr>
        <w:t xml:space="preserve">2. Data Classification</w:t>
      </w:r>
    </w:p>
    <w:p>
      <w:pPr>
        <w:spacing w:after="160"/>
      </w:pPr>
      <w:r>
        <w:rPr>
          <w:rFonts w:ascii="Arial" w:cs="Arial" w:eastAsia="Arial" w:hAnsi="Arial"/>
          <w:color w:val="111827"/>
          <w:sz w:val="22"/>
          <w:szCs w:val="22"/>
        </w:rPr>
        <w:t xml:space="preserve">HandUp classifies data into four tiers based on sensitivity and regulatory requirements. Classification determines the minimum security controls required for storage, transmission, and access.</w:t>
      </w:r>
    </w:p>
    <w:p>
      <w:pPr>
        <w:pStyle w:val="Heading2"/>
        <w:spacing w:after="160" w:before="280"/>
      </w:pPr>
      <w:r>
        <w:rPr>
          <w:rFonts w:ascii="Arial" w:cs="Arial" w:eastAsia="Arial" w:hAnsi="Arial"/>
          <w:b/>
          <w:bCs/>
          <w:color w:val="0F2044"/>
          <w:sz w:val="26"/>
          <w:szCs w:val="26"/>
        </w:rPr>
        <w:t xml:space="preserve">2.1 Classification Tiers</w:t>
      </w:r>
    </w:p>
    <w:p>
      <w:pPr>
        <w:spacing w:after="160"/>
      </w:pPr>
      <w:r>
        <w:rPr>
          <w:rFonts w:ascii="Arial" w:cs="Arial" w:eastAsia="Arial" w:hAnsi="Arial"/>
          <w:b/>
          <w:bCs/>
          <w:color w:val="111827"/>
          <w:sz w:val="22"/>
          <w:szCs w:val="22"/>
        </w:rPr>
        <w:t xml:space="preserve">Restricted: </w:t>
      </w:r>
      <w:r>
        <w:rPr>
          <w:rFonts w:ascii="Arial" w:cs="Arial" w:eastAsia="Arial" w:hAnsi="Arial"/>
          <w:color w:val="111827"/>
          <w:sz w:val="22"/>
          <w:szCs w:val="22"/>
        </w:rPr>
        <w:t xml:space="preserve">Data whose unauthorized disclosure would cause severe harm. Includes Social Security numbers (last 4 digits collected during KYC), bank account numbers, ACH routing numbers, and Plaid access tokens. This data is never logged, never stored in plaintext, and access is limited to automated systems only.</w:t>
      </w:r>
    </w:p>
    <w:p>
      <w:pPr>
        <w:spacing w:after="160"/>
      </w:pPr>
      <w:r>
        <w:rPr>
          <w:rFonts w:ascii="Arial" w:cs="Arial" w:eastAsia="Arial" w:hAnsi="Arial"/>
          <w:b/>
          <w:bCs/>
          <w:color w:val="111827"/>
          <w:sz w:val="22"/>
          <w:szCs w:val="22"/>
        </w:rPr>
        <w:t xml:space="preserve">Confidential: </w:t>
      </w:r>
      <w:r>
        <w:rPr>
          <w:rFonts w:ascii="Arial" w:cs="Arial" w:eastAsia="Arial" w:hAnsi="Arial"/>
          <w:color w:val="111827"/>
          <w:sz w:val="22"/>
          <w:szCs w:val="22"/>
        </w:rPr>
        <w:t xml:space="preserve">Data requiring protection under privacy regulations. Includes full names, dates of birth, home addresses, email addresses, phone numbers, loan terms, payment history, and identity verification results. Access is role-restricted.</w:t>
      </w:r>
    </w:p>
    <w:p>
      <w:pPr>
        <w:spacing w:after="160"/>
      </w:pPr>
      <w:r>
        <w:rPr>
          <w:rFonts w:ascii="Arial" w:cs="Arial" w:eastAsia="Arial" w:hAnsi="Arial"/>
          <w:b/>
          <w:bCs/>
          <w:color w:val="111827"/>
          <w:sz w:val="22"/>
          <w:szCs w:val="22"/>
        </w:rPr>
        <w:t xml:space="preserve">Internal: </w:t>
      </w:r>
      <w:r>
        <w:rPr>
          <w:rFonts w:ascii="Arial" w:cs="Arial" w:eastAsia="Arial" w:hAnsi="Arial"/>
          <w:color w:val="111827"/>
          <w:sz w:val="22"/>
          <w:szCs w:val="22"/>
        </w:rPr>
        <w:t xml:space="preserve">Operational data not intended for public disclosure. Includes API keys, JWT secrets, system architecture documentation, and internal communications. Access is limited to authorized personnel.</w:t>
      </w:r>
    </w:p>
    <w:p>
      <w:pPr>
        <w:spacing w:after="160"/>
      </w:pPr>
      <w:r>
        <w:rPr>
          <w:rFonts w:ascii="Arial" w:cs="Arial" w:eastAsia="Arial" w:hAnsi="Arial"/>
          <w:b/>
          <w:bCs/>
          <w:color w:val="111827"/>
          <w:sz w:val="22"/>
          <w:szCs w:val="22"/>
        </w:rPr>
        <w:t xml:space="preserve">Public: </w:t>
      </w:r>
      <w:r>
        <w:rPr>
          <w:rFonts w:ascii="Arial" w:cs="Arial" w:eastAsia="Arial" w:hAnsi="Arial"/>
          <w:color w:val="111827"/>
          <w:sz w:val="22"/>
          <w:szCs w:val="22"/>
        </w:rPr>
        <w:t xml:space="preserve">Information intentionally made available to the public. Includes marketing materials, FAQ content, and the HandUp landing page.</w:t>
      </w:r>
    </w:p>
    <w:p>
      <w:pPr>
        <w:pStyle w:val="Heading1"/>
        <w:spacing w:after="200" w:before="360"/>
      </w:pPr>
      <w:r>
        <w:rPr>
          <w:rFonts w:ascii="Arial" w:cs="Arial" w:eastAsia="Arial" w:hAnsi="Arial"/>
          <w:b/>
          <w:bCs/>
          <w:color w:val="0F2044"/>
          <w:sz w:val="32"/>
          <w:szCs w:val="32"/>
        </w:rPr>
        <w:t xml:space="preserve">3. Access Control</w:t>
      </w:r>
    </w:p>
    <w:p>
      <w:pPr>
        <w:spacing w:after="160"/>
      </w:pPr>
      <w:r>
        <w:rPr>
          <w:rFonts w:ascii="Arial" w:cs="Arial" w:eastAsia="Arial" w:hAnsi="Arial"/>
          <w:color w:val="111827"/>
          <w:sz w:val="22"/>
          <w:szCs w:val="22"/>
        </w:rPr>
        <w:t xml:space="preserve">HandUp enforces the principle of least privilege across all systems. Access to production systems, databases, and third-party service dashboards is restricted to authorized personnel and reviewed quarterly.</w:t>
      </w:r>
    </w:p>
    <w:p>
      <w:pPr>
        <w:pStyle w:val="Heading2"/>
        <w:spacing w:after="160" w:before="280"/>
      </w:pPr>
      <w:r>
        <w:rPr>
          <w:rFonts w:ascii="Arial" w:cs="Arial" w:eastAsia="Arial" w:hAnsi="Arial"/>
          <w:b/>
          <w:bCs/>
          <w:color w:val="0F2044"/>
          <w:sz w:val="26"/>
          <w:szCs w:val="26"/>
        </w:rPr>
        <w:t xml:space="preserve">3.1 Multi-Factor Authentication (MFA)</w:t>
      </w:r>
    </w:p>
    <w:p>
      <w:pPr>
        <w:spacing w:after="160"/>
      </w:pPr>
      <w:r>
        <w:rPr>
          <w:rFonts w:ascii="Arial" w:cs="Arial" w:eastAsia="Arial" w:hAnsi="Arial"/>
          <w:color w:val="111827"/>
          <w:sz w:val="22"/>
          <w:szCs w:val="22"/>
        </w:rPr>
        <w:t xml:space="preserve">All user authentication requires multi-factor verification:</w:t>
      </w:r>
    </w:p>
    <w:p>
      <w:pPr>
        <w:pStyle w:val="ListParagraph"/>
        <w:numPr>
          <w:ilvl w:val="0"/>
          <w:numId w:val="2"/>
        </w:numPr>
        <w:spacing w:after="80"/>
      </w:pPr>
      <w:r>
        <w:rPr>
          <w:rFonts w:ascii="Arial" w:cs="Arial" w:eastAsia="Arial" w:hAnsi="Arial"/>
          <w:color w:val="111827"/>
          <w:sz w:val="22"/>
          <w:szCs w:val="22"/>
        </w:rPr>
        <w:t xml:space="preserve">End users authenticate via phone-based OTP (one-time password) delivered through Twilio Verify over SMS</w:t>
      </w:r>
    </w:p>
    <w:p>
      <w:pPr>
        <w:pStyle w:val="ListParagraph"/>
        <w:numPr>
          <w:ilvl w:val="0"/>
          <w:numId w:val="2"/>
        </w:numPr>
        <w:spacing w:after="80"/>
      </w:pPr>
      <w:r>
        <w:rPr>
          <w:rFonts w:ascii="Arial" w:cs="Arial" w:eastAsia="Arial" w:hAnsi="Arial"/>
          <w:color w:val="111827"/>
          <w:sz w:val="22"/>
          <w:szCs w:val="22"/>
        </w:rPr>
        <w:t xml:space="preserve">OTP codes are 6 digits, expire after 15 minutes, and are single-use</w:t>
      </w:r>
    </w:p>
    <w:p>
      <w:pPr>
        <w:pStyle w:val="ListParagraph"/>
        <w:numPr>
          <w:ilvl w:val="0"/>
          <w:numId w:val="2"/>
        </w:numPr>
        <w:spacing w:after="80"/>
      </w:pPr>
      <w:r>
        <w:rPr>
          <w:rFonts w:ascii="Arial" w:cs="Arial" w:eastAsia="Arial" w:hAnsi="Arial"/>
          <w:color w:val="111827"/>
          <w:sz w:val="22"/>
          <w:szCs w:val="22"/>
        </w:rPr>
        <w:t xml:space="preserve">Administrative access to infrastructure (Railway, Plaid, Twilio dashboards) requires MFA enabled on each provider account</w:t>
      </w:r>
    </w:p>
    <w:p>
      <w:pPr>
        <w:pStyle w:val="ListParagraph"/>
        <w:numPr>
          <w:ilvl w:val="0"/>
          <w:numId w:val="2"/>
        </w:numPr>
        <w:spacing w:after="80"/>
      </w:pPr>
      <w:r>
        <w:rPr>
          <w:rFonts w:ascii="Arial" w:cs="Arial" w:eastAsia="Arial" w:hAnsi="Arial"/>
          <w:color w:val="111827"/>
          <w:sz w:val="22"/>
          <w:szCs w:val="22"/>
        </w:rPr>
        <w:t xml:space="preserve">Database access is restricted to the application service layer; no direct human access is permitted in production</w:t>
      </w:r>
    </w:p>
    <w:p>
      <w:pPr>
        <w:pStyle w:val="Heading2"/>
        <w:spacing w:after="160" w:before="280"/>
      </w:pPr>
      <w:r>
        <w:rPr>
          <w:rFonts w:ascii="Arial" w:cs="Arial" w:eastAsia="Arial" w:hAnsi="Arial"/>
          <w:b/>
          <w:bCs/>
          <w:color w:val="0F2044"/>
          <w:sz w:val="26"/>
          <w:szCs w:val="26"/>
        </w:rPr>
        <w:t xml:space="preserve">3.2 Role-Based Access</w:t>
      </w:r>
    </w:p>
    <w:p>
      <w:pPr>
        <w:pStyle w:val="ListParagraph"/>
        <w:numPr>
          <w:ilvl w:val="0"/>
          <w:numId w:val="2"/>
        </w:numPr>
        <w:spacing w:after="80"/>
      </w:pPr>
      <w:r>
        <w:rPr>
          <w:rFonts w:ascii="Arial" w:cs="Arial" w:eastAsia="Arial" w:hAnsi="Arial"/>
          <w:color w:val="111827"/>
          <w:sz w:val="22"/>
          <w:szCs w:val="22"/>
        </w:rPr>
        <w:t xml:space="preserve">Production database credentials are managed through Railway environment variables and are not accessible to developers directly</w:t>
      </w:r>
    </w:p>
    <w:p>
      <w:pPr>
        <w:pStyle w:val="ListParagraph"/>
        <w:numPr>
          <w:ilvl w:val="0"/>
          <w:numId w:val="2"/>
        </w:numPr>
        <w:spacing w:after="80"/>
      </w:pPr>
      <w:r>
        <w:rPr>
          <w:rFonts w:ascii="Arial" w:cs="Arial" w:eastAsia="Arial" w:hAnsi="Arial"/>
          <w:color w:val="111827"/>
          <w:sz w:val="22"/>
          <w:szCs w:val="22"/>
        </w:rPr>
        <w:t xml:space="preserve">API keys for third-party services (Plaid, Twilio, Dwolla) are stored exclusively in environment variables, never in source code</w:t>
      </w:r>
    </w:p>
    <w:p>
      <w:pPr>
        <w:pStyle w:val="ListParagraph"/>
        <w:numPr>
          <w:ilvl w:val="0"/>
          <w:numId w:val="2"/>
        </w:numPr>
        <w:spacing w:after="80"/>
      </w:pPr>
      <w:r>
        <w:rPr>
          <w:rFonts w:ascii="Arial" w:cs="Arial" w:eastAsia="Arial" w:hAnsi="Arial"/>
          <w:color w:val="111827"/>
          <w:sz w:val="22"/>
          <w:szCs w:val="22"/>
        </w:rPr>
        <w:t xml:space="preserve">Access to the Plaid and Twilio dashboards is restricted to authorized administrators with MFA enabled</w:t>
      </w:r>
    </w:p>
    <w:p>
      <w:pPr>
        <w:pStyle w:val="Heading2"/>
        <w:spacing w:after="160" w:before="280"/>
      </w:pPr>
      <w:r>
        <w:rPr>
          <w:rFonts w:ascii="Arial" w:cs="Arial" w:eastAsia="Arial" w:hAnsi="Arial"/>
          <w:b/>
          <w:bCs/>
          <w:color w:val="0F2044"/>
          <w:sz w:val="26"/>
          <w:szCs w:val="26"/>
        </w:rPr>
        <w:t xml:space="preserve">3.3 Access Reviews</w:t>
      </w:r>
    </w:p>
    <w:p>
      <w:pPr>
        <w:spacing w:after="160"/>
      </w:pPr>
      <w:r>
        <w:rPr>
          <w:rFonts w:ascii="Arial" w:cs="Arial" w:eastAsia="Arial" w:hAnsi="Arial"/>
          <w:color w:val="111827"/>
          <w:sz w:val="22"/>
          <w:szCs w:val="22"/>
        </w:rPr>
        <w:t xml:space="preserve">Access privileges are reviewed quarterly. Access is revoked immediately upon personnel departure or role change.</w:t>
      </w:r>
    </w:p>
    <w:p>
      <w:pPr>
        <w:pStyle w:val="Heading1"/>
        <w:spacing w:after="200" w:before="360"/>
      </w:pPr>
      <w:r>
        <w:rPr>
          <w:rFonts w:ascii="Arial" w:cs="Arial" w:eastAsia="Arial" w:hAnsi="Arial"/>
          <w:b/>
          <w:bCs/>
          <w:color w:val="0F2044"/>
          <w:sz w:val="32"/>
          <w:szCs w:val="32"/>
        </w:rPr>
        <w:t xml:space="preserve">4. Encryption Standards</w:t>
      </w:r>
    </w:p>
    <w:p>
      <w:pPr>
        <w:pStyle w:val="Heading2"/>
        <w:spacing w:after="160" w:before="280"/>
      </w:pPr>
      <w:r>
        <w:rPr>
          <w:rFonts w:ascii="Arial" w:cs="Arial" w:eastAsia="Arial" w:hAnsi="Arial"/>
          <w:b/>
          <w:bCs/>
          <w:color w:val="0F2044"/>
          <w:sz w:val="26"/>
          <w:szCs w:val="26"/>
        </w:rPr>
        <w:t xml:space="preserve">4.1 Data in Transit</w:t>
      </w:r>
    </w:p>
    <w:p>
      <w:pPr>
        <w:pStyle w:val="ListParagraph"/>
        <w:numPr>
          <w:ilvl w:val="0"/>
          <w:numId w:val="2"/>
        </w:numPr>
        <w:spacing w:after="80"/>
      </w:pPr>
      <w:r>
        <w:rPr>
          <w:rFonts w:ascii="Arial" w:cs="Arial" w:eastAsia="Arial" w:hAnsi="Arial"/>
          <w:color w:val="111827"/>
          <w:sz w:val="22"/>
          <w:szCs w:val="22"/>
        </w:rPr>
        <w:t xml:space="preserve">All client-server communication is encrypted using TLS 1.2 or higher, enforced by Railway and Vercel at the infrastructure level</w:t>
      </w:r>
    </w:p>
    <w:p>
      <w:pPr>
        <w:pStyle w:val="ListParagraph"/>
        <w:numPr>
          <w:ilvl w:val="0"/>
          <w:numId w:val="2"/>
        </w:numPr>
        <w:spacing w:after="80"/>
      </w:pPr>
      <w:r>
        <w:rPr>
          <w:rFonts w:ascii="Arial" w:cs="Arial" w:eastAsia="Arial" w:hAnsi="Arial"/>
          <w:color w:val="111827"/>
          <w:sz w:val="22"/>
          <w:szCs w:val="22"/>
        </w:rPr>
        <w:t xml:space="preserve">API endpoints accept HTTPS connections only; HTTP requests are rejected or redirected</w:t>
      </w:r>
    </w:p>
    <w:p>
      <w:pPr>
        <w:pStyle w:val="ListParagraph"/>
        <w:numPr>
          <w:ilvl w:val="0"/>
          <w:numId w:val="2"/>
        </w:numPr>
        <w:spacing w:after="80"/>
      </w:pPr>
      <w:r>
        <w:rPr>
          <w:rFonts w:ascii="Arial" w:cs="Arial" w:eastAsia="Arial" w:hAnsi="Arial"/>
          <w:color w:val="111827"/>
          <w:sz w:val="22"/>
          <w:szCs w:val="22"/>
        </w:rPr>
        <w:t xml:space="preserve">CORS (Cross-Origin Resource Sharing) is configured to allow only the HandUp web application domain</w:t>
      </w:r>
    </w:p>
    <w:p>
      <w:pPr>
        <w:pStyle w:val="ListParagraph"/>
        <w:numPr>
          <w:ilvl w:val="0"/>
          <w:numId w:val="2"/>
        </w:numPr>
        <w:spacing w:after="80"/>
      </w:pPr>
      <w:r>
        <w:rPr>
          <w:rFonts w:ascii="Arial" w:cs="Arial" w:eastAsia="Arial" w:hAnsi="Arial"/>
          <w:color w:val="111827"/>
          <w:sz w:val="22"/>
          <w:szCs w:val="22"/>
        </w:rPr>
        <w:t xml:space="preserve">All third-party API calls (Plaid, Twilio, Dwolla) are made over HTTPS</w:t>
      </w:r>
    </w:p>
    <w:p>
      <w:pPr>
        <w:pStyle w:val="Heading2"/>
        <w:spacing w:after="160" w:before="280"/>
      </w:pPr>
      <w:r>
        <w:rPr>
          <w:rFonts w:ascii="Arial" w:cs="Arial" w:eastAsia="Arial" w:hAnsi="Arial"/>
          <w:b/>
          <w:bCs/>
          <w:color w:val="0F2044"/>
          <w:sz w:val="26"/>
          <w:szCs w:val="26"/>
        </w:rPr>
        <w:t xml:space="preserve">4.2 Data at Rest</w:t>
      </w:r>
    </w:p>
    <w:p>
      <w:pPr>
        <w:pStyle w:val="ListParagraph"/>
        <w:numPr>
          <w:ilvl w:val="0"/>
          <w:numId w:val="2"/>
        </w:numPr>
        <w:spacing w:after="80"/>
      </w:pPr>
      <w:r>
        <w:rPr>
          <w:rFonts w:ascii="Arial" w:cs="Arial" w:eastAsia="Arial" w:hAnsi="Arial"/>
          <w:color w:val="111827"/>
          <w:sz w:val="22"/>
          <w:szCs w:val="22"/>
        </w:rPr>
        <w:t xml:space="preserve">PostgreSQL databases hosted on Railway are encrypted at rest using AES-256 encryption, managed by the cloud provider</w:t>
      </w:r>
    </w:p>
    <w:p>
      <w:pPr>
        <w:pStyle w:val="ListParagraph"/>
        <w:numPr>
          <w:ilvl w:val="0"/>
          <w:numId w:val="2"/>
        </w:numPr>
        <w:spacing w:after="80"/>
      </w:pPr>
      <w:r>
        <w:rPr>
          <w:rFonts w:ascii="Arial" w:cs="Arial" w:eastAsia="Arial" w:hAnsi="Arial"/>
          <w:color w:val="111827"/>
          <w:sz w:val="22"/>
          <w:szCs w:val="22"/>
        </w:rPr>
        <w:t xml:space="preserve">Database backups are encrypted using the same standard</w:t>
      </w:r>
    </w:p>
    <w:p>
      <w:pPr>
        <w:pStyle w:val="ListParagraph"/>
        <w:numPr>
          <w:ilvl w:val="0"/>
          <w:numId w:val="2"/>
        </w:numPr>
        <w:spacing w:after="80"/>
      </w:pPr>
      <w:r>
        <w:rPr>
          <w:rFonts w:ascii="Arial" w:cs="Arial" w:eastAsia="Arial" w:hAnsi="Arial"/>
          <w:color w:val="111827"/>
          <w:sz w:val="22"/>
          <w:szCs w:val="22"/>
        </w:rPr>
        <w:t xml:space="preserve">No sensitive data (passwords, SSNs, bank credentials) is stored in plaintext; Plaid tokens are the only stored credential, secured by Plaid’s token management infrastructure</w:t>
      </w:r>
    </w:p>
    <w:p>
      <w:pPr>
        <w:pStyle w:val="Heading2"/>
        <w:spacing w:after="160" w:before="280"/>
      </w:pPr>
      <w:r>
        <w:rPr>
          <w:rFonts w:ascii="Arial" w:cs="Arial" w:eastAsia="Arial" w:hAnsi="Arial"/>
          <w:b/>
          <w:bCs/>
          <w:color w:val="0F2044"/>
          <w:sz w:val="26"/>
          <w:szCs w:val="26"/>
        </w:rPr>
        <w:t xml:space="preserve">4.3 Secrets Management</w:t>
      </w:r>
    </w:p>
    <w:p>
      <w:pPr>
        <w:pStyle w:val="ListParagraph"/>
        <w:numPr>
          <w:ilvl w:val="0"/>
          <w:numId w:val="2"/>
        </w:numPr>
        <w:spacing w:after="80"/>
      </w:pPr>
      <w:r>
        <w:rPr>
          <w:rFonts w:ascii="Arial" w:cs="Arial" w:eastAsia="Arial" w:hAnsi="Arial"/>
          <w:color w:val="111827"/>
          <w:sz w:val="22"/>
          <w:szCs w:val="22"/>
        </w:rPr>
        <w:t xml:space="preserve">All secrets (JWT signing keys, API keys, database credentials) are stored in Railway environment variables</w:t>
      </w:r>
    </w:p>
    <w:p>
      <w:pPr>
        <w:pStyle w:val="ListParagraph"/>
        <w:numPr>
          <w:ilvl w:val="0"/>
          <w:numId w:val="2"/>
        </w:numPr>
        <w:spacing w:after="80"/>
      </w:pPr>
      <w:r>
        <w:rPr>
          <w:rFonts w:ascii="Arial" w:cs="Arial" w:eastAsia="Arial" w:hAnsi="Arial"/>
          <w:color w:val="111827"/>
          <w:sz w:val="22"/>
          <w:szCs w:val="22"/>
        </w:rPr>
        <w:t xml:space="preserve">Secrets are never committed to version control; .env files are excluded via .gitignore</w:t>
      </w:r>
    </w:p>
    <w:p>
      <w:pPr>
        <w:pStyle w:val="ListParagraph"/>
        <w:numPr>
          <w:ilvl w:val="0"/>
          <w:numId w:val="2"/>
        </w:numPr>
        <w:spacing w:after="80"/>
      </w:pPr>
      <w:r>
        <w:rPr>
          <w:rFonts w:ascii="Arial" w:cs="Arial" w:eastAsia="Arial" w:hAnsi="Arial"/>
          <w:color w:val="111827"/>
          <w:sz w:val="22"/>
          <w:szCs w:val="22"/>
        </w:rPr>
        <w:t xml:space="preserve">Secrets are rotated when personnel with access depart or when compromise is suspected</w:t>
      </w:r>
    </w:p>
    <w:p>
      <w:pPr>
        <w:pStyle w:val="Heading1"/>
        <w:spacing w:after="200" w:before="360"/>
      </w:pPr>
      <w:r>
        <w:rPr>
          <w:rFonts w:ascii="Arial" w:cs="Arial" w:eastAsia="Arial" w:hAnsi="Arial"/>
          <w:b/>
          <w:bCs/>
          <w:color w:val="0F2044"/>
          <w:sz w:val="32"/>
          <w:szCs w:val="32"/>
        </w:rPr>
        <w:t xml:space="preserve">5. Authentication and Authorization</w:t>
      </w:r>
    </w:p>
    <w:p>
      <w:pPr>
        <w:pStyle w:val="Heading2"/>
        <w:spacing w:after="160" w:before="280"/>
      </w:pPr>
      <w:r>
        <w:rPr>
          <w:rFonts w:ascii="Arial" w:cs="Arial" w:eastAsia="Arial" w:hAnsi="Arial"/>
          <w:b/>
          <w:bCs/>
          <w:color w:val="0F2044"/>
          <w:sz w:val="26"/>
          <w:szCs w:val="26"/>
        </w:rPr>
        <w:t xml:space="preserve">5.1 User Authentication Flow</w:t>
      </w:r>
    </w:p>
    <w:p>
      <w:pPr>
        <w:spacing w:after="160"/>
      </w:pPr>
      <w:r>
        <w:rPr>
          <w:rFonts w:ascii="Arial" w:cs="Arial" w:eastAsia="Arial" w:hAnsi="Arial"/>
          <w:color w:val="111827"/>
          <w:sz w:val="22"/>
          <w:szCs w:val="22"/>
        </w:rPr>
        <w:t xml:space="preserve">HandUp uses a passwordless authentication model based on phone verification:</w:t>
      </w:r>
    </w:p>
    <w:p>
      <w:pPr>
        <w:pStyle w:val="ListParagraph"/>
        <w:numPr>
          <w:ilvl w:val="0"/>
          <w:numId w:val="2"/>
        </w:numPr>
        <w:spacing w:after="80"/>
      </w:pPr>
      <w:r>
        <w:rPr>
          <w:rFonts w:ascii="Arial" w:cs="Arial" w:eastAsia="Arial" w:hAnsi="Arial"/>
          <w:color w:val="111827"/>
          <w:sz w:val="22"/>
          <w:szCs w:val="22"/>
        </w:rPr>
        <w:t xml:space="preserve">User provides their phone number</w:t>
      </w:r>
    </w:p>
    <w:p>
      <w:pPr>
        <w:pStyle w:val="ListParagraph"/>
        <w:numPr>
          <w:ilvl w:val="0"/>
          <w:numId w:val="2"/>
        </w:numPr>
        <w:spacing w:after="80"/>
      </w:pPr>
      <w:r>
        <w:rPr>
          <w:rFonts w:ascii="Arial" w:cs="Arial" w:eastAsia="Arial" w:hAnsi="Arial"/>
          <w:color w:val="111827"/>
          <w:sz w:val="22"/>
          <w:szCs w:val="22"/>
        </w:rPr>
        <w:t xml:space="preserve">A 6-digit OTP is sent via Twilio Verify SMS</w:t>
      </w:r>
    </w:p>
    <w:p>
      <w:pPr>
        <w:pStyle w:val="ListParagraph"/>
        <w:numPr>
          <w:ilvl w:val="0"/>
          <w:numId w:val="2"/>
        </w:numPr>
        <w:spacing w:after="80"/>
      </w:pPr>
      <w:r>
        <w:rPr>
          <w:rFonts w:ascii="Arial" w:cs="Arial" w:eastAsia="Arial" w:hAnsi="Arial"/>
          <w:color w:val="111827"/>
          <w:sz w:val="22"/>
          <w:szCs w:val="22"/>
        </w:rPr>
        <w:t xml:space="preserve">User enters the OTP, which is verified server-side against Twilio</w:t>
      </w:r>
    </w:p>
    <w:p>
      <w:pPr>
        <w:pStyle w:val="ListParagraph"/>
        <w:numPr>
          <w:ilvl w:val="0"/>
          <w:numId w:val="2"/>
        </w:numPr>
        <w:spacing w:after="80"/>
      </w:pPr>
      <w:r>
        <w:rPr>
          <w:rFonts w:ascii="Arial" w:cs="Arial" w:eastAsia="Arial" w:hAnsi="Arial"/>
          <w:color w:val="111827"/>
          <w:sz w:val="22"/>
          <w:szCs w:val="22"/>
        </w:rPr>
        <w:t xml:space="preserve">Upon successful verification, a JWT (JSON Web Token) is issued with a 30-day expiration</w:t>
      </w:r>
    </w:p>
    <w:p>
      <w:pPr>
        <w:pStyle w:val="ListParagraph"/>
        <w:numPr>
          <w:ilvl w:val="0"/>
          <w:numId w:val="2"/>
        </w:numPr>
        <w:spacing w:after="80"/>
      </w:pPr>
      <w:r>
        <w:rPr>
          <w:rFonts w:ascii="Arial" w:cs="Arial" w:eastAsia="Arial" w:hAnsi="Arial"/>
          <w:color w:val="111827"/>
          <w:sz w:val="22"/>
          <w:szCs w:val="22"/>
        </w:rPr>
        <w:t xml:space="preserve">The JWT contains the user ID and phone number; no sensitive data is included in the token payload</w:t>
      </w:r>
    </w:p>
    <w:p>
      <w:pPr>
        <w:pStyle w:val="Heading2"/>
        <w:spacing w:after="160" w:before="280"/>
      </w:pPr>
      <w:r>
        <w:rPr>
          <w:rFonts w:ascii="Arial" w:cs="Arial" w:eastAsia="Arial" w:hAnsi="Arial"/>
          <w:b/>
          <w:bCs/>
          <w:color w:val="0F2044"/>
          <w:sz w:val="26"/>
          <w:szCs w:val="26"/>
        </w:rPr>
        <w:t xml:space="preserve">5.2 Session Management</w:t>
      </w:r>
    </w:p>
    <w:p>
      <w:pPr>
        <w:pStyle w:val="ListParagraph"/>
        <w:numPr>
          <w:ilvl w:val="0"/>
          <w:numId w:val="2"/>
        </w:numPr>
        <w:spacing w:after="80"/>
      </w:pPr>
      <w:r>
        <w:rPr>
          <w:rFonts w:ascii="Arial" w:cs="Arial" w:eastAsia="Arial" w:hAnsi="Arial"/>
          <w:color w:val="111827"/>
          <w:sz w:val="22"/>
          <w:szCs w:val="22"/>
        </w:rPr>
        <w:t xml:space="preserve">JWTs are stored client-side (localStorage on web, AsyncStorage on mobile)</w:t>
      </w:r>
    </w:p>
    <w:p>
      <w:pPr>
        <w:pStyle w:val="ListParagraph"/>
        <w:numPr>
          <w:ilvl w:val="0"/>
          <w:numId w:val="2"/>
        </w:numPr>
        <w:spacing w:after="80"/>
      </w:pPr>
      <w:r>
        <w:rPr>
          <w:rFonts w:ascii="Arial" w:cs="Arial" w:eastAsia="Arial" w:hAnsi="Arial"/>
          <w:color w:val="111827"/>
          <w:sz w:val="22"/>
          <w:szCs w:val="22"/>
        </w:rPr>
        <w:t xml:space="preserve">Tokens are validated on every API request via the requireAuth middleware</w:t>
      </w:r>
    </w:p>
    <w:p>
      <w:pPr>
        <w:pStyle w:val="ListParagraph"/>
        <w:numPr>
          <w:ilvl w:val="0"/>
          <w:numId w:val="2"/>
        </w:numPr>
        <w:spacing w:after="80"/>
      </w:pPr>
      <w:r>
        <w:rPr>
          <w:rFonts w:ascii="Arial" w:cs="Arial" w:eastAsia="Arial" w:hAnsi="Arial"/>
          <w:color w:val="111827"/>
          <w:sz w:val="22"/>
          <w:szCs w:val="22"/>
        </w:rPr>
        <w:t xml:space="preserve">Token validation confirms both signature validity and that the associated user exists in the database</w:t>
      </w:r>
    </w:p>
    <w:p>
      <w:pPr>
        <w:pStyle w:val="ListParagraph"/>
        <w:numPr>
          <w:ilvl w:val="0"/>
          <w:numId w:val="2"/>
        </w:numPr>
        <w:spacing w:after="80"/>
      </w:pPr>
      <w:r>
        <w:rPr>
          <w:rFonts w:ascii="Arial" w:cs="Arial" w:eastAsia="Arial" w:hAnsi="Arial"/>
          <w:color w:val="111827"/>
          <w:sz w:val="22"/>
          <w:szCs w:val="22"/>
        </w:rPr>
        <w:t xml:space="preserve">Logout is performed by client-side token deletion; server-side token revocation is planned for a future release</w:t>
      </w:r>
    </w:p>
    <w:p>
      <w:pPr>
        <w:pStyle w:val="Heading2"/>
        <w:spacing w:after="160" w:before="280"/>
      </w:pPr>
      <w:r>
        <w:rPr>
          <w:rFonts w:ascii="Arial" w:cs="Arial" w:eastAsia="Arial" w:hAnsi="Arial"/>
          <w:b/>
          <w:bCs/>
          <w:color w:val="0F2044"/>
          <w:sz w:val="26"/>
          <w:szCs w:val="26"/>
        </w:rPr>
        <w:t xml:space="preserve">5.3 Identity Verification (KYC)</w:t>
      </w:r>
    </w:p>
    <w:p>
      <w:pPr>
        <w:spacing w:after="160"/>
      </w:pPr>
      <w:r>
        <w:rPr>
          <w:rFonts w:ascii="Arial" w:cs="Arial" w:eastAsia="Arial" w:hAnsi="Arial"/>
          <w:color w:val="111827"/>
          <w:sz w:val="22"/>
          <w:szCs w:val="22"/>
        </w:rPr>
        <w:t xml:space="preserve">New users must complete identity verification through Plaid Identity Verification (IDV) before creating or participating in loans. This process includes:</w:t>
      </w:r>
    </w:p>
    <w:p>
      <w:pPr>
        <w:pStyle w:val="ListParagraph"/>
        <w:numPr>
          <w:ilvl w:val="0"/>
          <w:numId w:val="2"/>
        </w:numPr>
        <w:spacing w:after="80"/>
      </w:pPr>
      <w:r>
        <w:rPr>
          <w:rFonts w:ascii="Arial" w:cs="Arial" w:eastAsia="Arial" w:hAnsi="Arial"/>
          <w:color w:val="111827"/>
          <w:sz w:val="22"/>
          <w:szCs w:val="22"/>
        </w:rPr>
        <w:t xml:space="preserve">Government-issued ID document verification</w:t>
      </w:r>
    </w:p>
    <w:p>
      <w:pPr>
        <w:pStyle w:val="ListParagraph"/>
        <w:numPr>
          <w:ilvl w:val="0"/>
          <w:numId w:val="2"/>
        </w:numPr>
        <w:spacing w:after="80"/>
      </w:pPr>
      <w:r>
        <w:rPr>
          <w:rFonts w:ascii="Arial" w:cs="Arial" w:eastAsia="Arial" w:hAnsi="Arial"/>
          <w:color w:val="111827"/>
          <w:sz w:val="22"/>
          <w:szCs w:val="22"/>
        </w:rPr>
        <w:t xml:space="preserve">Biometric selfie matching</w:t>
      </w:r>
    </w:p>
    <w:p>
      <w:pPr>
        <w:pStyle w:val="ListParagraph"/>
        <w:numPr>
          <w:ilvl w:val="0"/>
          <w:numId w:val="2"/>
        </w:numPr>
        <w:spacing w:after="80"/>
      </w:pPr>
      <w:r>
        <w:rPr>
          <w:rFonts w:ascii="Arial" w:cs="Arial" w:eastAsia="Arial" w:hAnsi="Arial"/>
          <w:color w:val="111827"/>
          <w:sz w:val="22"/>
          <w:szCs w:val="22"/>
        </w:rPr>
        <w:t xml:space="preserve">Verification status is tracked in the database (PENDING, SUBMITTED, APPROVED, REJECTED, MANUAL_REVIEW)</w:t>
      </w:r>
    </w:p>
    <w:p>
      <w:pPr>
        <w:pStyle w:val="ListParagraph"/>
        <w:numPr>
          <w:ilvl w:val="0"/>
          <w:numId w:val="2"/>
        </w:numPr>
        <w:spacing w:after="80"/>
      </w:pPr>
      <w:r>
        <w:rPr>
          <w:rFonts w:ascii="Arial" w:cs="Arial" w:eastAsia="Arial" w:hAnsi="Arial"/>
          <w:color w:val="111827"/>
          <w:sz w:val="22"/>
          <w:szCs w:val="22"/>
        </w:rPr>
        <w:t xml:space="preserve">Loan creation is gated by identity verification status; unverified users receive an HTTP 403 response</w:t>
      </w:r>
    </w:p>
    <w:p>
      <w:r>
        <w:br w:type="page"/>
      </w:r>
    </w:p>
    <w:p>
      <w:pPr>
        <w:pStyle w:val="Heading1"/>
        <w:spacing w:after="200" w:before="360"/>
      </w:pPr>
      <w:r>
        <w:rPr>
          <w:rFonts w:ascii="Arial" w:cs="Arial" w:eastAsia="Arial" w:hAnsi="Arial"/>
          <w:b/>
          <w:bCs/>
          <w:color w:val="0F2044"/>
          <w:sz w:val="32"/>
          <w:szCs w:val="32"/>
        </w:rPr>
        <w:t xml:space="preserve">6. Network Security</w:t>
      </w:r>
    </w:p>
    <w:p>
      <w:pPr>
        <w:pStyle w:val="ListParagraph"/>
        <w:numPr>
          <w:ilvl w:val="0"/>
          <w:numId w:val="2"/>
        </w:numPr>
        <w:spacing w:after="80"/>
      </w:pPr>
      <w:r>
        <w:rPr>
          <w:rFonts w:ascii="Arial" w:cs="Arial" w:eastAsia="Arial" w:hAnsi="Arial"/>
          <w:color w:val="111827"/>
          <w:sz w:val="22"/>
          <w:szCs w:val="22"/>
        </w:rPr>
        <w:t xml:space="preserve">All production services are hosted on Railway, a SOC 2-compliant cloud platform</w:t>
      </w:r>
    </w:p>
    <w:p>
      <w:pPr>
        <w:pStyle w:val="ListParagraph"/>
        <w:numPr>
          <w:ilvl w:val="0"/>
          <w:numId w:val="2"/>
        </w:numPr>
        <w:spacing w:after="80"/>
      </w:pPr>
      <w:r>
        <w:rPr>
          <w:rFonts w:ascii="Arial" w:cs="Arial" w:eastAsia="Arial" w:hAnsi="Arial"/>
          <w:color w:val="111827"/>
          <w:sz w:val="22"/>
          <w:szCs w:val="22"/>
        </w:rPr>
        <w:t xml:space="preserve">No on-premise servers or self-managed infrastructure is used</w:t>
      </w:r>
    </w:p>
    <w:p>
      <w:pPr>
        <w:pStyle w:val="ListParagraph"/>
        <w:numPr>
          <w:ilvl w:val="0"/>
          <w:numId w:val="2"/>
        </w:numPr>
        <w:spacing w:after="80"/>
      </w:pPr>
      <w:r>
        <w:rPr>
          <w:rFonts w:ascii="Arial" w:cs="Arial" w:eastAsia="Arial" w:hAnsi="Arial"/>
          <w:color w:val="111827"/>
          <w:sz w:val="22"/>
          <w:szCs w:val="22"/>
        </w:rPr>
        <w:t xml:space="preserve">API rate limiting is enforced to prevent abuse and denial-of-service attacks</w:t>
      </w:r>
    </w:p>
    <w:p>
      <w:pPr>
        <w:pStyle w:val="ListParagraph"/>
        <w:numPr>
          <w:ilvl w:val="0"/>
          <w:numId w:val="2"/>
        </w:numPr>
        <w:spacing w:after="80"/>
      </w:pPr>
      <w:r>
        <w:rPr>
          <w:rFonts w:ascii="Arial" w:cs="Arial" w:eastAsia="Arial" w:hAnsi="Arial"/>
          <w:color w:val="111827"/>
          <w:sz w:val="22"/>
          <w:szCs w:val="22"/>
        </w:rPr>
        <w:t xml:space="preserve">CORS policies restrict API access to the HandUp web application origin</w:t>
      </w:r>
    </w:p>
    <w:p>
      <w:pPr>
        <w:pStyle w:val="ListParagraph"/>
        <w:numPr>
          <w:ilvl w:val="0"/>
          <w:numId w:val="2"/>
        </w:numPr>
        <w:spacing w:after="80"/>
      </w:pPr>
      <w:r>
        <w:rPr>
          <w:rFonts w:ascii="Arial" w:cs="Arial" w:eastAsia="Arial" w:hAnsi="Arial"/>
          <w:color w:val="111827"/>
          <w:sz w:val="22"/>
          <w:szCs w:val="22"/>
        </w:rPr>
        <w:t xml:space="preserve">Webhook endpoints (Plaid IDV callbacks) verify request authenticity before processing</w:t>
      </w:r>
    </w:p>
    <w:p>
      <w:pPr>
        <w:pStyle w:val="ListParagraph"/>
        <w:numPr>
          <w:ilvl w:val="0"/>
          <w:numId w:val="2"/>
        </w:numPr>
        <w:spacing w:after="80"/>
      </w:pPr>
      <w:r>
        <w:rPr>
          <w:rFonts w:ascii="Arial" w:cs="Arial" w:eastAsia="Arial" w:hAnsi="Arial"/>
          <w:color w:val="111827"/>
          <w:sz w:val="22"/>
          <w:szCs w:val="22"/>
        </w:rPr>
        <w:t xml:space="preserve">The API does not expose administrative endpoints publicly; all management is performed through provider dashboards with MFA</w:t>
      </w:r>
    </w:p>
    <w:p>
      <w:pPr>
        <w:pStyle w:val="Heading1"/>
        <w:spacing w:after="200" w:before="360"/>
      </w:pPr>
      <w:r>
        <w:rPr>
          <w:rFonts w:ascii="Arial" w:cs="Arial" w:eastAsia="Arial" w:hAnsi="Arial"/>
          <w:b/>
          <w:bCs/>
          <w:color w:val="0F2044"/>
          <w:sz w:val="32"/>
          <w:szCs w:val="32"/>
        </w:rPr>
        <w:t xml:space="preserve">7. Application Security</w:t>
      </w:r>
    </w:p>
    <w:p>
      <w:pPr>
        <w:pStyle w:val="Heading2"/>
        <w:spacing w:after="160" w:before="280"/>
      </w:pPr>
      <w:r>
        <w:rPr>
          <w:rFonts w:ascii="Arial" w:cs="Arial" w:eastAsia="Arial" w:hAnsi="Arial"/>
          <w:b/>
          <w:bCs/>
          <w:color w:val="0F2044"/>
          <w:sz w:val="26"/>
          <w:szCs w:val="26"/>
        </w:rPr>
        <w:t xml:space="preserve">7.1 Input Validation</w:t>
      </w:r>
    </w:p>
    <w:p>
      <w:pPr>
        <w:pStyle w:val="ListParagraph"/>
        <w:numPr>
          <w:ilvl w:val="0"/>
          <w:numId w:val="2"/>
        </w:numPr>
        <w:spacing w:after="80"/>
      </w:pPr>
      <w:r>
        <w:rPr>
          <w:rFonts w:ascii="Arial" w:cs="Arial" w:eastAsia="Arial" w:hAnsi="Arial"/>
          <w:color w:val="111827"/>
          <w:sz w:val="22"/>
          <w:szCs w:val="22"/>
        </w:rPr>
        <w:t xml:space="preserve">All API inputs are validated using Zod schemas with strict type checking before processing</w:t>
      </w:r>
    </w:p>
    <w:p>
      <w:pPr>
        <w:pStyle w:val="ListParagraph"/>
        <w:numPr>
          <w:ilvl w:val="0"/>
          <w:numId w:val="2"/>
        </w:numPr>
        <w:spacing w:after="80"/>
      </w:pPr>
      <w:r>
        <w:rPr>
          <w:rFonts w:ascii="Arial" w:cs="Arial" w:eastAsia="Arial" w:hAnsi="Arial"/>
          <w:color w:val="111827"/>
          <w:sz w:val="22"/>
          <w:szCs w:val="22"/>
        </w:rPr>
        <w:t xml:space="preserve">Phone numbers, email addresses, and financial values are validated against defined patterns</w:t>
      </w:r>
    </w:p>
    <w:p>
      <w:pPr>
        <w:pStyle w:val="ListParagraph"/>
        <w:numPr>
          <w:ilvl w:val="0"/>
          <w:numId w:val="2"/>
        </w:numPr>
        <w:spacing w:after="80"/>
      </w:pPr>
      <w:r>
        <w:rPr>
          <w:rFonts w:ascii="Arial" w:cs="Arial" w:eastAsia="Arial" w:hAnsi="Arial"/>
          <w:color w:val="111827"/>
          <w:sz w:val="22"/>
          <w:szCs w:val="22"/>
        </w:rPr>
        <w:t xml:space="preserve">Malformed or unexpected input is rejected with descriptive error messages that do not leak internal details</w:t>
      </w:r>
    </w:p>
    <w:p>
      <w:pPr>
        <w:pStyle w:val="Heading2"/>
        <w:spacing w:after="160" w:before="280"/>
      </w:pPr>
      <w:r>
        <w:rPr>
          <w:rFonts w:ascii="Arial" w:cs="Arial" w:eastAsia="Arial" w:hAnsi="Arial"/>
          <w:b/>
          <w:bCs/>
          <w:color w:val="0F2044"/>
          <w:sz w:val="26"/>
          <w:szCs w:val="26"/>
        </w:rPr>
        <w:t xml:space="preserve">7.2 SQL Injection Prevention</w:t>
      </w:r>
    </w:p>
    <w:p>
      <w:pPr>
        <w:pStyle w:val="ListParagraph"/>
        <w:numPr>
          <w:ilvl w:val="0"/>
          <w:numId w:val="2"/>
        </w:numPr>
        <w:spacing w:after="80"/>
      </w:pPr>
      <w:r>
        <w:rPr>
          <w:rFonts w:ascii="Arial" w:cs="Arial" w:eastAsia="Arial" w:hAnsi="Arial"/>
          <w:color w:val="111827"/>
          <w:sz w:val="22"/>
          <w:szCs w:val="22"/>
        </w:rPr>
        <w:t xml:space="preserve">All database queries are executed through Prisma ORM, which uses parameterized queries exclusively</w:t>
      </w:r>
    </w:p>
    <w:p>
      <w:pPr>
        <w:pStyle w:val="ListParagraph"/>
        <w:numPr>
          <w:ilvl w:val="0"/>
          <w:numId w:val="2"/>
        </w:numPr>
        <w:spacing w:after="80"/>
      </w:pPr>
      <w:r>
        <w:rPr>
          <w:rFonts w:ascii="Arial" w:cs="Arial" w:eastAsia="Arial" w:hAnsi="Arial"/>
          <w:color w:val="111827"/>
          <w:sz w:val="22"/>
          <w:szCs w:val="22"/>
        </w:rPr>
        <w:t xml:space="preserve">No raw SQL is used in the application codebase</w:t>
      </w:r>
    </w:p>
    <w:p>
      <w:pPr>
        <w:pStyle w:val="ListParagraph"/>
        <w:numPr>
          <w:ilvl w:val="0"/>
          <w:numId w:val="2"/>
        </w:numPr>
        <w:spacing w:after="80"/>
      </w:pPr>
      <w:r>
        <w:rPr>
          <w:rFonts w:ascii="Arial" w:cs="Arial" w:eastAsia="Arial" w:hAnsi="Arial"/>
          <w:color w:val="111827"/>
          <w:sz w:val="22"/>
          <w:szCs w:val="22"/>
        </w:rPr>
        <w:t xml:space="preserve">The database user has minimum required permissions</w:t>
      </w:r>
    </w:p>
    <w:p>
      <w:pPr>
        <w:pStyle w:val="Heading2"/>
        <w:spacing w:after="160" w:before="280"/>
      </w:pPr>
      <w:r>
        <w:rPr>
          <w:rFonts w:ascii="Arial" w:cs="Arial" w:eastAsia="Arial" w:hAnsi="Arial"/>
          <w:b/>
          <w:bCs/>
          <w:color w:val="0F2044"/>
          <w:sz w:val="26"/>
          <w:szCs w:val="26"/>
        </w:rPr>
        <w:t xml:space="preserve">7.3 Cross-Site Scripting (XSS) Prevention</w:t>
      </w:r>
    </w:p>
    <w:p>
      <w:pPr>
        <w:pStyle w:val="ListParagraph"/>
        <w:numPr>
          <w:ilvl w:val="0"/>
          <w:numId w:val="2"/>
        </w:numPr>
        <w:spacing w:after="80"/>
      </w:pPr>
      <w:r>
        <w:rPr>
          <w:rFonts w:ascii="Arial" w:cs="Arial" w:eastAsia="Arial" w:hAnsi="Arial"/>
          <w:color w:val="111827"/>
          <w:sz w:val="22"/>
          <w:szCs w:val="22"/>
        </w:rPr>
        <w:t xml:space="preserve">The web application is built with Next.js and React, which escape rendered content by default</w:t>
      </w:r>
    </w:p>
    <w:p>
      <w:pPr>
        <w:pStyle w:val="ListParagraph"/>
        <w:numPr>
          <w:ilvl w:val="0"/>
          <w:numId w:val="2"/>
        </w:numPr>
        <w:spacing w:after="80"/>
      </w:pPr>
      <w:r>
        <w:rPr>
          <w:rFonts w:ascii="Arial" w:cs="Arial" w:eastAsia="Arial" w:hAnsi="Arial"/>
          <w:color w:val="111827"/>
          <w:sz w:val="22"/>
          <w:szCs w:val="22"/>
        </w:rPr>
        <w:t xml:space="preserve">User-generated content is never rendered as raw HTML</w:t>
      </w:r>
    </w:p>
    <w:p>
      <w:pPr>
        <w:pStyle w:val="ListParagraph"/>
        <w:numPr>
          <w:ilvl w:val="0"/>
          <w:numId w:val="2"/>
        </w:numPr>
        <w:spacing w:after="80"/>
      </w:pPr>
      <w:r>
        <w:rPr>
          <w:rFonts w:ascii="Arial" w:cs="Arial" w:eastAsia="Arial" w:hAnsi="Arial"/>
          <w:color w:val="111827"/>
          <w:sz w:val="22"/>
          <w:szCs w:val="22"/>
        </w:rPr>
        <w:t xml:space="preserve">Content Security Policy headers are planned for a future release</w:t>
      </w:r>
    </w:p>
    <w:p>
      <w:pPr>
        <w:pStyle w:val="Heading2"/>
        <w:spacing w:after="160" w:before="280"/>
      </w:pPr>
      <w:r>
        <w:rPr>
          <w:rFonts w:ascii="Arial" w:cs="Arial" w:eastAsia="Arial" w:hAnsi="Arial"/>
          <w:b/>
          <w:bCs/>
          <w:color w:val="0F2044"/>
          <w:sz w:val="26"/>
          <w:szCs w:val="26"/>
        </w:rPr>
        <w:t xml:space="preserve">7.4 Dependency Management</w:t>
      </w:r>
    </w:p>
    <w:p>
      <w:pPr>
        <w:pStyle w:val="ListParagraph"/>
        <w:numPr>
          <w:ilvl w:val="0"/>
          <w:numId w:val="2"/>
        </w:numPr>
        <w:spacing w:after="80"/>
      </w:pPr>
      <w:r>
        <w:rPr>
          <w:rFonts w:ascii="Arial" w:cs="Arial" w:eastAsia="Arial" w:hAnsi="Arial"/>
          <w:color w:val="111827"/>
          <w:sz w:val="22"/>
          <w:szCs w:val="22"/>
        </w:rPr>
        <w:t xml:space="preserve">Dependencies are managed through pnpm with a lockfile for deterministic builds</w:t>
      </w:r>
    </w:p>
    <w:p>
      <w:pPr>
        <w:pStyle w:val="ListParagraph"/>
        <w:numPr>
          <w:ilvl w:val="0"/>
          <w:numId w:val="2"/>
        </w:numPr>
        <w:spacing w:after="80"/>
      </w:pPr>
      <w:r>
        <w:rPr>
          <w:rFonts w:ascii="Arial" w:cs="Arial" w:eastAsia="Arial" w:hAnsi="Arial"/>
          <w:color w:val="111827"/>
          <w:sz w:val="22"/>
          <w:szCs w:val="22"/>
        </w:rPr>
        <w:t xml:space="preserve">Vulnerability scanning is performed using npm audit on a regular basis</w:t>
      </w:r>
    </w:p>
    <w:p>
      <w:pPr>
        <w:pStyle w:val="ListParagraph"/>
        <w:numPr>
          <w:ilvl w:val="0"/>
          <w:numId w:val="2"/>
        </w:numPr>
        <w:spacing w:after="80"/>
      </w:pPr>
      <w:r>
        <w:rPr>
          <w:rFonts w:ascii="Arial" w:cs="Arial" w:eastAsia="Arial" w:hAnsi="Arial"/>
          <w:color w:val="111827"/>
          <w:sz w:val="22"/>
          <w:szCs w:val="22"/>
        </w:rPr>
        <w:t xml:space="preserve">Critical security patches are applied within 72 hours of disclosure</w:t>
      </w:r>
    </w:p>
    <w:p>
      <w:pPr>
        <w:pStyle w:val="Heading1"/>
        <w:spacing w:after="200" w:before="360"/>
      </w:pPr>
      <w:r>
        <w:rPr>
          <w:rFonts w:ascii="Arial" w:cs="Arial" w:eastAsia="Arial" w:hAnsi="Arial"/>
          <w:b/>
          <w:bCs/>
          <w:color w:val="0F2044"/>
          <w:sz w:val="32"/>
          <w:szCs w:val="32"/>
        </w:rPr>
        <w:t xml:space="preserve">8. Third-Party Vendor Management</w:t>
      </w:r>
    </w:p>
    <w:p>
      <w:pPr>
        <w:spacing w:after="160"/>
      </w:pPr>
      <w:r>
        <w:rPr>
          <w:rFonts w:ascii="Arial" w:cs="Arial" w:eastAsia="Arial" w:hAnsi="Arial"/>
          <w:color w:val="111827"/>
          <w:sz w:val="22"/>
          <w:szCs w:val="22"/>
        </w:rPr>
        <w:t xml:space="preserve">HandUp relies on the following third-party vendors for critical infrastructure. All vendors are selected based on their security certifications, compliance posture, and data handling practices.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500"/>
        <w:gridCol w:w="2500"/>
        <w:gridCol w:w="2560"/>
      </w:tblGrid>
      <w:tr>
        <w:tc>
          <w:tcPr>
            <w:tcW w:type="dxa" w:w="1800"/>
            <w:tcBorders>
              <w:top w:val="single" w:color="CCCCCC" w:sz="1"/>
              <w:left w:val="single" w:color="CCCCCC" w:sz="1"/>
              <w:bottom w:val="single" w:color="CCCCCC" w:sz="1"/>
              <w:right w:val="single" w:color="CCCCCC" w:sz="1"/>
            </w:tcBorders>
            <w:shd w:fill="0F2044" w:val="clear"/>
            <w:tcMar>
              <w:top w:type="dxa" w:w="80"/>
              <w:left w:type="dxa" w:w="120"/>
              <w:bottom w:type="dxa" w:w="80"/>
              <w:right w:type="dxa" w:w="120"/>
            </w:tcMar>
          </w:tcPr>
          <w:p>
            <w:r>
              <w:rPr>
                <w:rFonts w:ascii="Arial" w:cs="Arial" w:eastAsia="Arial" w:hAnsi="Arial"/>
                <w:b/>
                <w:bCs/>
                <w:color w:val="FFFFFF"/>
                <w:sz w:val="18"/>
                <w:szCs w:val="18"/>
              </w:rPr>
              <w:t xml:space="preserve">Vendor</w:t>
            </w:r>
          </w:p>
        </w:tc>
        <w:tc>
          <w:tcPr>
            <w:tcW w:type="dxa" w:w="2500"/>
            <w:tcBorders>
              <w:top w:val="single" w:color="CCCCCC" w:sz="1"/>
              <w:left w:val="single" w:color="CCCCCC" w:sz="1"/>
              <w:bottom w:val="single" w:color="CCCCCC" w:sz="1"/>
              <w:right w:val="single" w:color="CCCCCC" w:sz="1"/>
            </w:tcBorders>
            <w:shd w:fill="0F2044" w:val="clear"/>
            <w:tcMar>
              <w:top w:type="dxa" w:w="80"/>
              <w:left w:type="dxa" w:w="120"/>
              <w:bottom w:type="dxa" w:w="80"/>
              <w:right w:type="dxa" w:w="120"/>
            </w:tcMar>
          </w:tcPr>
          <w:p>
            <w:r>
              <w:rPr>
                <w:rFonts w:ascii="Arial" w:cs="Arial" w:eastAsia="Arial" w:hAnsi="Arial"/>
                <w:b/>
                <w:bCs/>
                <w:color w:val="FFFFFF"/>
                <w:sz w:val="18"/>
                <w:szCs w:val="18"/>
              </w:rPr>
              <w:t xml:space="preserve">Purpose</w:t>
            </w:r>
          </w:p>
        </w:tc>
        <w:tc>
          <w:tcPr>
            <w:tcW w:type="dxa" w:w="2500"/>
            <w:tcBorders>
              <w:top w:val="single" w:color="CCCCCC" w:sz="1"/>
              <w:left w:val="single" w:color="CCCCCC" w:sz="1"/>
              <w:bottom w:val="single" w:color="CCCCCC" w:sz="1"/>
              <w:right w:val="single" w:color="CCCCCC" w:sz="1"/>
            </w:tcBorders>
            <w:shd w:fill="0F2044" w:val="clear"/>
            <w:tcMar>
              <w:top w:type="dxa" w:w="80"/>
              <w:left w:type="dxa" w:w="120"/>
              <w:bottom w:type="dxa" w:w="80"/>
              <w:right w:type="dxa" w:w="120"/>
            </w:tcMar>
          </w:tcPr>
          <w:p>
            <w:r>
              <w:rPr>
                <w:rFonts w:ascii="Arial" w:cs="Arial" w:eastAsia="Arial" w:hAnsi="Arial"/>
                <w:b/>
                <w:bCs/>
                <w:color w:val="FFFFFF"/>
                <w:sz w:val="18"/>
                <w:szCs w:val="18"/>
              </w:rPr>
              <w:t xml:space="preserve">Compliance</w:t>
            </w:r>
          </w:p>
        </w:tc>
        <w:tc>
          <w:tcPr>
            <w:tcW w:type="dxa" w:w="2560"/>
            <w:tcBorders>
              <w:top w:val="single" w:color="CCCCCC" w:sz="1"/>
              <w:left w:val="single" w:color="CCCCCC" w:sz="1"/>
              <w:bottom w:val="single" w:color="CCCCCC" w:sz="1"/>
              <w:right w:val="single" w:color="CCCCCC" w:sz="1"/>
            </w:tcBorders>
            <w:shd w:fill="0F2044" w:val="clear"/>
            <w:tcMar>
              <w:top w:type="dxa" w:w="80"/>
              <w:left w:type="dxa" w:w="120"/>
              <w:bottom w:type="dxa" w:w="80"/>
              <w:right w:type="dxa" w:w="120"/>
            </w:tcMar>
          </w:tcPr>
          <w:p>
            <w:r>
              <w:rPr>
                <w:rFonts w:ascii="Arial" w:cs="Arial" w:eastAsia="Arial" w:hAnsi="Arial"/>
                <w:b/>
                <w:bCs/>
                <w:color w:val="FFFFFF"/>
                <w:sz w:val="18"/>
                <w:szCs w:val="18"/>
              </w:rPr>
              <w:t xml:space="preserve">Data Shared</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Railway</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Cloud hosting, PostgreSQL</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SOC 2 Type II</w:t>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Application data, database</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Plaid</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Identity verification, bank linking</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SOC 2 Type II, ISO 27001</w:t>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Name, DOB, SSN4, address, bank credentials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Twilio</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SMS OTP delivery</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SOC 2 Type II, ISO 27001</w:t>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Phone numbers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Dwolla</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ACH payment processing</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SOC 2 Type II</w:t>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Bank accounts, payment amounts</w:t>
            </w:r>
          </w:p>
        </w:tc>
      </w:tr>
    </w:tbl>
    <w:p>
      <w:pPr>
        <w:spacing w:after="160"/>
      </w:pPr>
    </w:p>
    <w:p>
      <w:pPr>
        <w:spacing w:after="160"/>
      </w:pPr>
      <w:r>
        <w:rPr>
          <w:rFonts w:ascii="Arial" w:cs="Arial" w:eastAsia="Arial" w:hAnsi="Arial"/>
          <w:color w:val="111827"/>
          <w:sz w:val="22"/>
          <w:szCs w:val="22"/>
        </w:rPr>
        <w:t xml:space="preserve">Vendor security posture is reviewed annually. Vendors must maintain SOC 2 Type II certification or equivalent. HandUp reserves the right to terminate vendor relationships if security requirements are not met.</w:t>
      </w:r>
    </w:p>
    <w:p>
      <w:r>
        <w:br w:type="page"/>
      </w:r>
    </w:p>
    <w:p>
      <w:pPr>
        <w:pStyle w:val="Heading1"/>
        <w:spacing w:after="200" w:before="360"/>
      </w:pPr>
      <w:r>
        <w:rPr>
          <w:rFonts w:ascii="Arial" w:cs="Arial" w:eastAsia="Arial" w:hAnsi="Arial"/>
          <w:b/>
          <w:bCs/>
          <w:color w:val="0F2044"/>
          <w:sz w:val="32"/>
          <w:szCs w:val="32"/>
        </w:rPr>
        <w:t xml:space="preserve">9. Incident Response Plan</w:t>
      </w:r>
    </w:p>
    <w:p>
      <w:pPr>
        <w:spacing w:after="160"/>
      </w:pPr>
      <w:r>
        <w:rPr>
          <w:rFonts w:ascii="Arial" w:cs="Arial" w:eastAsia="Arial" w:hAnsi="Arial"/>
          <w:color w:val="111827"/>
          <w:sz w:val="22"/>
          <w:szCs w:val="22"/>
        </w:rPr>
        <w:t xml:space="preserve">HandUp maintains a structured incident response process to ensure rapid detection, containment, and resolution of security incidents.</w:t>
      </w:r>
    </w:p>
    <w:p>
      <w:pPr>
        <w:pStyle w:val="Heading2"/>
        <w:spacing w:after="160" w:before="280"/>
      </w:pPr>
      <w:r>
        <w:rPr>
          <w:rFonts w:ascii="Arial" w:cs="Arial" w:eastAsia="Arial" w:hAnsi="Arial"/>
          <w:b/>
          <w:bCs/>
          <w:color w:val="0F2044"/>
          <w:sz w:val="26"/>
          <w:szCs w:val="26"/>
        </w:rPr>
        <w:t xml:space="preserve">9.1 Detection</w:t>
      </w:r>
    </w:p>
    <w:p>
      <w:pPr>
        <w:pStyle w:val="ListParagraph"/>
        <w:numPr>
          <w:ilvl w:val="0"/>
          <w:numId w:val="2"/>
        </w:numPr>
        <w:spacing w:after="80"/>
      </w:pPr>
      <w:r>
        <w:rPr>
          <w:rFonts w:ascii="Arial" w:cs="Arial" w:eastAsia="Arial" w:hAnsi="Arial"/>
          <w:color w:val="111827"/>
          <w:sz w:val="22"/>
          <w:szCs w:val="22"/>
        </w:rPr>
        <w:t xml:space="preserve">Application error monitoring via structured logging and error tracking</w:t>
      </w:r>
    </w:p>
    <w:p>
      <w:pPr>
        <w:pStyle w:val="ListParagraph"/>
        <w:numPr>
          <w:ilvl w:val="0"/>
          <w:numId w:val="2"/>
        </w:numPr>
        <w:spacing w:after="80"/>
      </w:pPr>
      <w:r>
        <w:rPr>
          <w:rFonts w:ascii="Arial" w:cs="Arial" w:eastAsia="Arial" w:hAnsi="Arial"/>
          <w:color w:val="111827"/>
          <w:sz w:val="22"/>
          <w:szCs w:val="22"/>
        </w:rPr>
        <w:t xml:space="preserve">Automated alerts for authentication anomalies (repeated failed OTP attempts, unusual login patterns)</w:t>
      </w:r>
    </w:p>
    <w:p>
      <w:pPr>
        <w:pStyle w:val="ListParagraph"/>
        <w:numPr>
          <w:ilvl w:val="0"/>
          <w:numId w:val="2"/>
        </w:numPr>
        <w:spacing w:after="80"/>
      </w:pPr>
      <w:r>
        <w:rPr>
          <w:rFonts w:ascii="Arial" w:cs="Arial" w:eastAsia="Arial" w:hAnsi="Arial"/>
          <w:color w:val="111827"/>
          <w:sz w:val="22"/>
          <w:szCs w:val="22"/>
        </w:rPr>
        <w:t xml:space="preserve">Third-party vendor security notifications (Plaid, Twilio, Railway security advisories)</w:t>
      </w:r>
    </w:p>
    <w:p>
      <w:pPr>
        <w:pStyle w:val="ListParagraph"/>
        <w:numPr>
          <w:ilvl w:val="0"/>
          <w:numId w:val="2"/>
        </w:numPr>
        <w:spacing w:after="80"/>
      </w:pPr>
      <w:r>
        <w:rPr>
          <w:rFonts w:ascii="Arial" w:cs="Arial" w:eastAsia="Arial" w:hAnsi="Arial"/>
          <w:color w:val="111827"/>
          <w:sz w:val="22"/>
          <w:szCs w:val="22"/>
        </w:rPr>
        <w:t xml:space="preserve">User reports via support channels</w:t>
      </w:r>
    </w:p>
    <w:p>
      <w:pPr>
        <w:pStyle w:val="Heading2"/>
        <w:spacing w:after="160" w:before="280"/>
      </w:pPr>
      <w:r>
        <w:rPr>
          <w:rFonts w:ascii="Arial" w:cs="Arial" w:eastAsia="Arial" w:hAnsi="Arial"/>
          <w:b/>
          <w:bCs/>
          <w:color w:val="0F2044"/>
          <w:sz w:val="26"/>
          <w:szCs w:val="26"/>
        </w:rPr>
        <w:t xml:space="preserve">9.2 Classification</w:t>
      </w:r>
    </w:p>
    <w:p>
      <w:pPr>
        <w:pStyle w:val="ListParagraph"/>
        <w:numPr>
          <w:ilvl w:val="0"/>
          <w:numId w:val="2"/>
        </w:numPr>
        <w:spacing w:after="80"/>
      </w:pPr>
      <w:r>
        <w:rPr>
          <w:rFonts w:ascii="Arial" w:cs="Arial" w:eastAsia="Arial" w:hAnsi="Arial"/>
          <w:color w:val="111827"/>
          <w:sz w:val="22"/>
          <w:szCs w:val="22"/>
        </w:rPr>
        <w:t xml:space="preserve">Critical: Confirmed data breach involving PII or financial data, unauthorized access to production systems</w:t>
      </w:r>
    </w:p>
    <w:p>
      <w:pPr>
        <w:pStyle w:val="ListParagraph"/>
        <w:numPr>
          <w:ilvl w:val="0"/>
          <w:numId w:val="2"/>
        </w:numPr>
        <w:spacing w:after="80"/>
      </w:pPr>
      <w:r>
        <w:rPr>
          <w:rFonts w:ascii="Arial" w:cs="Arial" w:eastAsia="Arial" w:hAnsi="Arial"/>
          <w:color w:val="111827"/>
          <w:sz w:val="22"/>
          <w:szCs w:val="22"/>
        </w:rPr>
        <w:t xml:space="preserve">High: Suspected unauthorized access, vulnerability actively being exploited</w:t>
      </w:r>
    </w:p>
    <w:p>
      <w:pPr>
        <w:pStyle w:val="ListParagraph"/>
        <w:numPr>
          <w:ilvl w:val="0"/>
          <w:numId w:val="2"/>
        </w:numPr>
        <w:spacing w:after="80"/>
      </w:pPr>
      <w:r>
        <w:rPr>
          <w:rFonts w:ascii="Arial" w:cs="Arial" w:eastAsia="Arial" w:hAnsi="Arial"/>
          <w:color w:val="111827"/>
          <w:sz w:val="22"/>
          <w:szCs w:val="22"/>
        </w:rPr>
        <w:t xml:space="preserve">Medium: Security misconfiguration identified, failed intrusion attempt</w:t>
      </w:r>
    </w:p>
    <w:p>
      <w:pPr>
        <w:pStyle w:val="ListParagraph"/>
        <w:numPr>
          <w:ilvl w:val="0"/>
          <w:numId w:val="2"/>
        </w:numPr>
        <w:spacing w:after="80"/>
      </w:pPr>
      <w:r>
        <w:rPr>
          <w:rFonts w:ascii="Arial" w:cs="Arial" w:eastAsia="Arial" w:hAnsi="Arial"/>
          <w:color w:val="111827"/>
          <w:sz w:val="22"/>
          <w:szCs w:val="22"/>
        </w:rPr>
        <w:t xml:space="preserve">Low: Policy violation without data exposure, informational security alert</w:t>
      </w:r>
    </w:p>
    <w:p>
      <w:pPr>
        <w:pStyle w:val="Heading2"/>
        <w:spacing w:after="160" w:before="280"/>
      </w:pPr>
      <w:r>
        <w:rPr>
          <w:rFonts w:ascii="Arial" w:cs="Arial" w:eastAsia="Arial" w:hAnsi="Arial"/>
          <w:b/>
          <w:bCs/>
          <w:color w:val="0F2044"/>
          <w:sz w:val="26"/>
          <w:szCs w:val="26"/>
        </w:rPr>
        <w:t xml:space="preserve">9.3 Containment</w:t>
      </w:r>
    </w:p>
    <w:p>
      <w:pPr>
        <w:pStyle w:val="ListParagraph"/>
        <w:numPr>
          <w:ilvl w:val="0"/>
          <w:numId w:val="2"/>
        </w:numPr>
        <w:spacing w:after="80"/>
      </w:pPr>
      <w:r>
        <w:rPr>
          <w:rFonts w:ascii="Arial" w:cs="Arial" w:eastAsia="Arial" w:hAnsi="Arial"/>
          <w:color w:val="111827"/>
          <w:sz w:val="22"/>
          <w:szCs w:val="22"/>
        </w:rPr>
        <w:t xml:space="preserve">Immediately revoke compromised credentials (API keys, JWT signing secrets)</w:t>
      </w:r>
    </w:p>
    <w:p>
      <w:pPr>
        <w:pStyle w:val="ListParagraph"/>
        <w:numPr>
          <w:ilvl w:val="0"/>
          <w:numId w:val="2"/>
        </w:numPr>
        <w:spacing w:after="80"/>
      </w:pPr>
      <w:r>
        <w:rPr>
          <w:rFonts w:ascii="Arial" w:cs="Arial" w:eastAsia="Arial" w:hAnsi="Arial"/>
          <w:color w:val="111827"/>
          <w:sz w:val="22"/>
          <w:szCs w:val="22"/>
        </w:rPr>
        <w:t xml:space="preserve">Isolate affected systems if necessary (disable endpoints, restrict database access)</w:t>
      </w:r>
    </w:p>
    <w:p>
      <w:pPr>
        <w:pStyle w:val="ListParagraph"/>
        <w:numPr>
          <w:ilvl w:val="0"/>
          <w:numId w:val="2"/>
        </w:numPr>
        <w:spacing w:after="80"/>
      </w:pPr>
      <w:r>
        <w:rPr>
          <w:rFonts w:ascii="Arial" w:cs="Arial" w:eastAsia="Arial" w:hAnsi="Arial"/>
          <w:color w:val="111827"/>
          <w:sz w:val="22"/>
          <w:szCs w:val="22"/>
        </w:rPr>
        <w:t xml:space="preserve">Preserve evidence for investigation (logs, database snapshots)</w:t>
      </w:r>
    </w:p>
    <w:p>
      <w:pPr>
        <w:pStyle w:val="Heading2"/>
        <w:spacing w:after="160" w:before="280"/>
      </w:pPr>
      <w:r>
        <w:rPr>
          <w:rFonts w:ascii="Arial" w:cs="Arial" w:eastAsia="Arial" w:hAnsi="Arial"/>
          <w:b/>
          <w:bCs/>
          <w:color w:val="0F2044"/>
          <w:sz w:val="26"/>
          <w:szCs w:val="26"/>
        </w:rPr>
        <w:t xml:space="preserve">9.4 Notification</w:t>
      </w:r>
    </w:p>
    <w:p>
      <w:pPr>
        <w:pStyle w:val="ListParagraph"/>
        <w:numPr>
          <w:ilvl w:val="0"/>
          <w:numId w:val="2"/>
        </w:numPr>
        <w:spacing w:after="80"/>
      </w:pPr>
      <w:r>
        <w:rPr>
          <w:rFonts w:ascii="Arial" w:cs="Arial" w:eastAsia="Arial" w:hAnsi="Arial"/>
          <w:color w:val="111827"/>
          <w:sz w:val="22"/>
          <w:szCs w:val="22"/>
        </w:rPr>
        <w:t xml:space="preserve">Affected users are notified within 72 hours of confirmed breach, in accordance with state breach notification laws</w:t>
      </w:r>
    </w:p>
    <w:p>
      <w:pPr>
        <w:pStyle w:val="ListParagraph"/>
        <w:numPr>
          <w:ilvl w:val="0"/>
          <w:numId w:val="2"/>
        </w:numPr>
        <w:spacing w:after="80"/>
      </w:pPr>
      <w:r>
        <w:rPr>
          <w:rFonts w:ascii="Arial" w:cs="Arial" w:eastAsia="Arial" w:hAnsi="Arial"/>
          <w:color w:val="111827"/>
          <w:sz w:val="22"/>
          <w:szCs w:val="22"/>
        </w:rPr>
        <w:t xml:space="preserve">Regulatory bodies are notified as required by applicable law</w:t>
      </w:r>
    </w:p>
    <w:p>
      <w:pPr>
        <w:pStyle w:val="ListParagraph"/>
        <w:numPr>
          <w:ilvl w:val="0"/>
          <w:numId w:val="2"/>
        </w:numPr>
        <w:spacing w:after="80"/>
      </w:pPr>
      <w:r>
        <w:rPr>
          <w:rFonts w:ascii="Arial" w:cs="Arial" w:eastAsia="Arial" w:hAnsi="Arial"/>
          <w:color w:val="111827"/>
          <w:sz w:val="22"/>
          <w:szCs w:val="22"/>
        </w:rPr>
        <w:t xml:space="preserve">Third-party vendors are notified if the breach involves their systems or data</w:t>
      </w:r>
    </w:p>
    <w:p>
      <w:pPr>
        <w:pStyle w:val="Heading2"/>
        <w:spacing w:after="160" w:before="280"/>
      </w:pPr>
      <w:r>
        <w:rPr>
          <w:rFonts w:ascii="Arial" w:cs="Arial" w:eastAsia="Arial" w:hAnsi="Arial"/>
          <w:b/>
          <w:bCs/>
          <w:color w:val="0F2044"/>
          <w:sz w:val="26"/>
          <w:szCs w:val="26"/>
        </w:rPr>
        <w:t xml:space="preserve">9.5 Recovery and Post-Incident Review</w:t>
      </w:r>
    </w:p>
    <w:p>
      <w:pPr>
        <w:pStyle w:val="ListParagraph"/>
        <w:numPr>
          <w:ilvl w:val="0"/>
          <w:numId w:val="2"/>
        </w:numPr>
        <w:spacing w:after="80"/>
      </w:pPr>
      <w:r>
        <w:rPr>
          <w:rFonts w:ascii="Arial" w:cs="Arial" w:eastAsia="Arial" w:hAnsi="Arial"/>
          <w:color w:val="111827"/>
          <w:sz w:val="22"/>
          <w:szCs w:val="22"/>
        </w:rPr>
        <w:t xml:space="preserve">Root cause analysis is conducted within 5 business days of incident resolution</w:t>
      </w:r>
    </w:p>
    <w:p>
      <w:pPr>
        <w:pStyle w:val="ListParagraph"/>
        <w:numPr>
          <w:ilvl w:val="0"/>
          <w:numId w:val="2"/>
        </w:numPr>
        <w:spacing w:after="80"/>
      </w:pPr>
      <w:r>
        <w:rPr>
          <w:rFonts w:ascii="Arial" w:cs="Arial" w:eastAsia="Arial" w:hAnsi="Arial"/>
          <w:color w:val="111827"/>
          <w:sz w:val="22"/>
          <w:szCs w:val="22"/>
        </w:rPr>
        <w:t xml:space="preserve">Remediation actions are documented and tracked to completion</w:t>
      </w:r>
    </w:p>
    <w:p>
      <w:pPr>
        <w:pStyle w:val="ListParagraph"/>
        <w:numPr>
          <w:ilvl w:val="0"/>
          <w:numId w:val="2"/>
        </w:numPr>
        <w:spacing w:after="80"/>
      </w:pPr>
      <w:r>
        <w:rPr>
          <w:rFonts w:ascii="Arial" w:cs="Arial" w:eastAsia="Arial" w:hAnsi="Arial"/>
          <w:color w:val="111827"/>
          <w:sz w:val="22"/>
          <w:szCs w:val="22"/>
        </w:rPr>
        <w:t xml:space="preserve">This policy and related procedures are updated based on lessons learned</w:t>
      </w:r>
    </w:p>
    <w:p>
      <w:pPr>
        <w:pStyle w:val="Heading1"/>
        <w:spacing w:after="200" w:before="360"/>
      </w:pPr>
      <w:r>
        <w:rPr>
          <w:rFonts w:ascii="Arial" w:cs="Arial" w:eastAsia="Arial" w:hAnsi="Arial"/>
          <w:b/>
          <w:bCs/>
          <w:color w:val="0F2044"/>
          <w:sz w:val="32"/>
          <w:szCs w:val="32"/>
        </w:rPr>
        <w:t xml:space="preserve">10. Data Retention and Disposal</w:t>
      </w:r>
    </w:p>
    <w:p>
      <w:pPr>
        <w:pStyle w:val="ListParagraph"/>
        <w:numPr>
          <w:ilvl w:val="0"/>
          <w:numId w:val="2"/>
        </w:numPr>
        <w:spacing w:after="80"/>
      </w:pPr>
      <w:r>
        <w:rPr>
          <w:rFonts w:ascii="Arial" w:cs="Arial" w:eastAsia="Arial" w:hAnsi="Arial"/>
          <w:color w:val="111827"/>
          <w:sz w:val="22"/>
          <w:szCs w:val="22"/>
        </w:rPr>
        <w:t xml:space="preserve">Active user accounts and associated data are retained for the duration of account activity</w:t>
      </w:r>
    </w:p>
    <w:p>
      <w:pPr>
        <w:pStyle w:val="ListParagraph"/>
        <w:numPr>
          <w:ilvl w:val="0"/>
          <w:numId w:val="2"/>
        </w:numPr>
        <w:spacing w:after="80"/>
      </w:pPr>
      <w:r>
        <w:rPr>
          <w:rFonts w:ascii="Arial" w:cs="Arial" w:eastAsia="Arial" w:hAnsi="Arial"/>
          <w:color w:val="111827"/>
          <w:sz w:val="22"/>
          <w:szCs w:val="22"/>
        </w:rPr>
        <w:t xml:space="preserve">Closed loan records are retained for 7 years to comply with IRS record-keeping requirements and FCRA obligations</w:t>
      </w:r>
    </w:p>
    <w:p>
      <w:pPr>
        <w:pStyle w:val="ListParagraph"/>
        <w:numPr>
          <w:ilvl w:val="0"/>
          <w:numId w:val="2"/>
        </w:numPr>
        <w:spacing w:after="80"/>
      </w:pPr>
      <w:r>
        <w:rPr>
          <w:rFonts w:ascii="Arial" w:cs="Arial" w:eastAsia="Arial" w:hAnsi="Arial"/>
          <w:color w:val="111827"/>
          <w:sz w:val="22"/>
          <w:szCs w:val="22"/>
        </w:rPr>
        <w:t xml:space="preserve">OTP codes are retained for 24 hours after use, then purged</w:t>
      </w:r>
    </w:p>
    <w:p>
      <w:pPr>
        <w:pStyle w:val="ListParagraph"/>
        <w:numPr>
          <w:ilvl w:val="0"/>
          <w:numId w:val="2"/>
        </w:numPr>
        <w:spacing w:after="80"/>
      </w:pPr>
      <w:r>
        <w:rPr>
          <w:rFonts w:ascii="Arial" w:cs="Arial" w:eastAsia="Arial" w:hAnsi="Arial"/>
          <w:color w:val="111827"/>
          <w:sz w:val="22"/>
          <w:szCs w:val="22"/>
        </w:rPr>
        <w:t xml:space="preserve">Server logs are retained for 90 days</w:t>
      </w:r>
    </w:p>
    <w:p>
      <w:pPr>
        <w:pStyle w:val="ListParagraph"/>
        <w:numPr>
          <w:ilvl w:val="0"/>
          <w:numId w:val="2"/>
        </w:numPr>
        <w:spacing w:after="80"/>
      </w:pPr>
      <w:r>
        <w:rPr>
          <w:rFonts w:ascii="Arial" w:cs="Arial" w:eastAsia="Arial" w:hAnsi="Arial"/>
          <w:color w:val="111827"/>
          <w:sz w:val="22"/>
          <w:szCs w:val="22"/>
        </w:rPr>
        <w:t xml:space="preserve">Upon account deletion request, PII is anonymized within 30 days; transactional records required for compliance are retained in anonymized form</w:t>
      </w:r>
    </w:p>
    <w:p>
      <w:pPr>
        <w:pStyle w:val="ListParagraph"/>
        <w:numPr>
          <w:ilvl w:val="0"/>
          <w:numId w:val="2"/>
        </w:numPr>
        <w:spacing w:after="80"/>
      </w:pPr>
      <w:r>
        <w:rPr>
          <w:rFonts w:ascii="Arial" w:cs="Arial" w:eastAsia="Arial" w:hAnsi="Arial"/>
          <w:color w:val="111827"/>
          <w:sz w:val="22"/>
          <w:szCs w:val="22"/>
        </w:rPr>
        <w:t xml:space="preserve">Data disposal is performed through database record deletion with automated cleanup processes</w:t>
      </w:r>
    </w:p>
    <w:p>
      <w:pPr>
        <w:pStyle w:val="Heading1"/>
        <w:spacing w:after="200" w:before="360"/>
      </w:pPr>
      <w:r>
        <w:rPr>
          <w:rFonts w:ascii="Arial" w:cs="Arial" w:eastAsia="Arial" w:hAnsi="Arial"/>
          <w:b/>
          <w:bCs/>
          <w:color w:val="0F2044"/>
          <w:sz w:val="32"/>
          <w:szCs w:val="32"/>
        </w:rPr>
        <w:t xml:space="preserve">11. Monitoring and Logging</w:t>
      </w:r>
    </w:p>
    <w:p>
      <w:pPr>
        <w:pStyle w:val="ListParagraph"/>
        <w:numPr>
          <w:ilvl w:val="0"/>
          <w:numId w:val="2"/>
        </w:numPr>
        <w:spacing w:after="80"/>
      </w:pPr>
      <w:r>
        <w:rPr>
          <w:rFonts w:ascii="Arial" w:cs="Arial" w:eastAsia="Arial" w:hAnsi="Arial"/>
          <w:color w:val="111827"/>
          <w:sz w:val="22"/>
          <w:szCs w:val="22"/>
        </w:rPr>
        <w:t xml:space="preserve">All API requests are logged with timestamp, endpoint, HTTP method, response status, and user ID (where authenticated)</w:t>
      </w:r>
    </w:p>
    <w:p>
      <w:pPr>
        <w:pStyle w:val="ListParagraph"/>
        <w:numPr>
          <w:ilvl w:val="0"/>
          <w:numId w:val="2"/>
        </w:numPr>
        <w:spacing w:after="80"/>
      </w:pPr>
      <w:r>
        <w:rPr>
          <w:rFonts w:ascii="Arial" w:cs="Arial" w:eastAsia="Arial" w:hAnsi="Arial"/>
          <w:color w:val="111827"/>
          <w:sz w:val="22"/>
          <w:szCs w:val="22"/>
        </w:rPr>
        <w:t xml:space="preserve">Authentication events (OTP send, OTP verify, login, signup) are logged with IP address and outcome</w:t>
      </w:r>
    </w:p>
    <w:p>
      <w:pPr>
        <w:pStyle w:val="ListParagraph"/>
        <w:numPr>
          <w:ilvl w:val="0"/>
          <w:numId w:val="2"/>
        </w:numPr>
        <w:spacing w:after="80"/>
      </w:pPr>
      <w:r>
        <w:rPr>
          <w:rFonts w:ascii="Arial" w:cs="Arial" w:eastAsia="Arial" w:hAnsi="Arial"/>
          <w:color w:val="111827"/>
          <w:sz w:val="22"/>
          <w:szCs w:val="22"/>
        </w:rPr>
        <w:t xml:space="preserve">Failed authentication attempts are monitored for brute-force patterns</w:t>
      </w:r>
    </w:p>
    <w:p>
      <w:pPr>
        <w:pStyle w:val="ListParagraph"/>
        <w:numPr>
          <w:ilvl w:val="0"/>
          <w:numId w:val="2"/>
        </w:numPr>
        <w:spacing w:after="80"/>
      </w:pPr>
      <w:r>
        <w:rPr>
          <w:rFonts w:ascii="Arial" w:cs="Arial" w:eastAsia="Arial" w:hAnsi="Arial"/>
          <w:color w:val="111827"/>
          <w:sz w:val="22"/>
          <w:szCs w:val="22"/>
        </w:rPr>
        <w:t xml:space="preserve">Sensitive data (OTP codes, tokens, SSN digits) is never included in log output</w:t>
      </w:r>
    </w:p>
    <w:p>
      <w:pPr>
        <w:pStyle w:val="ListParagraph"/>
        <w:numPr>
          <w:ilvl w:val="0"/>
          <w:numId w:val="2"/>
        </w:numPr>
        <w:spacing w:after="80"/>
      </w:pPr>
      <w:r>
        <w:rPr>
          <w:rFonts w:ascii="Arial" w:cs="Arial" w:eastAsia="Arial" w:hAnsi="Arial"/>
          <w:color w:val="111827"/>
          <w:sz w:val="22"/>
          <w:szCs w:val="22"/>
        </w:rPr>
        <w:t xml:space="preserve">Logs are stored in Railway’s managed logging infrastructure with 90-day retention</w:t>
      </w:r>
    </w:p>
    <w:p>
      <w:pPr>
        <w:pStyle w:val="ListParagraph"/>
        <w:numPr>
          <w:ilvl w:val="0"/>
          <w:numId w:val="2"/>
        </w:numPr>
        <w:spacing w:after="80"/>
      </w:pPr>
      <w:r>
        <w:rPr>
          <w:rFonts w:ascii="Arial" w:cs="Arial" w:eastAsia="Arial" w:hAnsi="Arial"/>
          <w:color w:val="111827"/>
          <w:sz w:val="22"/>
          <w:szCs w:val="22"/>
        </w:rPr>
        <w:t xml:space="preserve">Anomaly detection and alerting are planned for a future release as transaction volume grows</w:t>
      </w:r>
    </w:p>
    <w:p>
      <w:pPr>
        <w:pStyle w:val="Heading1"/>
        <w:spacing w:after="200" w:before="360"/>
      </w:pPr>
      <w:r>
        <w:rPr>
          <w:rFonts w:ascii="Arial" w:cs="Arial" w:eastAsia="Arial" w:hAnsi="Arial"/>
          <w:b/>
          <w:bCs/>
          <w:color w:val="0F2044"/>
          <w:sz w:val="32"/>
          <w:szCs w:val="32"/>
        </w:rPr>
        <w:t xml:space="preserve">12. Employee Security</w:t>
      </w:r>
    </w:p>
    <w:p>
      <w:pPr>
        <w:pStyle w:val="Heading2"/>
        <w:spacing w:after="160" w:before="280"/>
      </w:pPr>
      <w:r>
        <w:rPr>
          <w:rFonts w:ascii="Arial" w:cs="Arial" w:eastAsia="Arial" w:hAnsi="Arial"/>
          <w:b/>
          <w:bCs/>
          <w:color w:val="0F2044"/>
          <w:sz w:val="26"/>
          <w:szCs w:val="26"/>
        </w:rPr>
        <w:t xml:space="preserve">12.1 Security Awareness</w:t>
      </w:r>
    </w:p>
    <w:p>
      <w:pPr>
        <w:pStyle w:val="ListParagraph"/>
        <w:numPr>
          <w:ilvl w:val="0"/>
          <w:numId w:val="2"/>
        </w:numPr>
        <w:spacing w:after="80"/>
      </w:pPr>
      <w:r>
        <w:rPr>
          <w:rFonts w:ascii="Arial" w:cs="Arial" w:eastAsia="Arial" w:hAnsi="Arial"/>
          <w:color w:val="111827"/>
          <w:sz w:val="22"/>
          <w:szCs w:val="22"/>
        </w:rPr>
        <w:t xml:space="preserve">All personnel with access to HandUp systems receive security awareness training upon onboarding</w:t>
      </w:r>
    </w:p>
    <w:p>
      <w:pPr>
        <w:pStyle w:val="ListParagraph"/>
        <w:numPr>
          <w:ilvl w:val="0"/>
          <w:numId w:val="2"/>
        </w:numPr>
        <w:spacing w:after="80"/>
      </w:pPr>
      <w:r>
        <w:rPr>
          <w:rFonts w:ascii="Arial" w:cs="Arial" w:eastAsia="Arial" w:hAnsi="Arial"/>
          <w:color w:val="111827"/>
          <w:sz w:val="22"/>
          <w:szCs w:val="22"/>
        </w:rPr>
        <w:t xml:space="preserve">Training covers data classification, phishing recognition, secure credential handling, and incident reporting</w:t>
      </w:r>
    </w:p>
    <w:p>
      <w:pPr>
        <w:pStyle w:val="ListParagraph"/>
        <w:numPr>
          <w:ilvl w:val="0"/>
          <w:numId w:val="2"/>
        </w:numPr>
        <w:spacing w:after="80"/>
      </w:pPr>
      <w:r>
        <w:rPr>
          <w:rFonts w:ascii="Arial" w:cs="Arial" w:eastAsia="Arial" w:hAnsi="Arial"/>
          <w:color w:val="111827"/>
          <w:sz w:val="22"/>
          <w:szCs w:val="22"/>
        </w:rPr>
        <w:t xml:space="preserve">Training is refreshed annually</w:t>
      </w:r>
    </w:p>
    <w:p>
      <w:pPr>
        <w:pStyle w:val="Heading2"/>
        <w:spacing w:after="160" w:before="280"/>
      </w:pPr>
      <w:r>
        <w:rPr>
          <w:rFonts w:ascii="Arial" w:cs="Arial" w:eastAsia="Arial" w:hAnsi="Arial"/>
          <w:b/>
          <w:bCs/>
          <w:color w:val="0F2044"/>
          <w:sz w:val="26"/>
          <w:szCs w:val="26"/>
        </w:rPr>
        <w:t xml:space="preserve">12.2 Access Provisioning and Deprovisioning</w:t>
      </w:r>
    </w:p>
    <w:p>
      <w:pPr>
        <w:pStyle w:val="ListParagraph"/>
        <w:numPr>
          <w:ilvl w:val="0"/>
          <w:numId w:val="2"/>
        </w:numPr>
        <w:spacing w:after="80"/>
      </w:pPr>
      <w:r>
        <w:rPr>
          <w:rFonts w:ascii="Arial" w:cs="Arial" w:eastAsia="Arial" w:hAnsi="Arial"/>
          <w:color w:val="111827"/>
          <w:sz w:val="22"/>
          <w:szCs w:val="22"/>
        </w:rPr>
        <w:t xml:space="preserve">Access to production systems is granted based on role requirements and approved by the security lead</w:t>
      </w:r>
    </w:p>
    <w:p>
      <w:pPr>
        <w:pStyle w:val="ListParagraph"/>
        <w:numPr>
          <w:ilvl w:val="0"/>
          <w:numId w:val="2"/>
        </w:numPr>
        <w:spacing w:after="80"/>
      </w:pPr>
      <w:r>
        <w:rPr>
          <w:rFonts w:ascii="Arial" w:cs="Arial" w:eastAsia="Arial" w:hAnsi="Arial"/>
          <w:color w:val="111827"/>
          <w:sz w:val="22"/>
          <w:szCs w:val="22"/>
        </w:rPr>
        <w:t xml:space="preserve">Access is revoked within 24 hours of personnel departure or role change</w:t>
      </w:r>
    </w:p>
    <w:p>
      <w:pPr>
        <w:pStyle w:val="ListParagraph"/>
        <w:numPr>
          <w:ilvl w:val="0"/>
          <w:numId w:val="2"/>
        </w:numPr>
        <w:spacing w:after="80"/>
      </w:pPr>
      <w:r>
        <w:rPr>
          <w:rFonts w:ascii="Arial" w:cs="Arial" w:eastAsia="Arial" w:hAnsi="Arial"/>
          <w:color w:val="111827"/>
          <w:sz w:val="22"/>
          <w:szCs w:val="22"/>
        </w:rPr>
        <w:t xml:space="preserve">Shared credentials are prohibited; all access uses individual accounts with MFA</w:t>
      </w:r>
    </w:p>
    <w:p>
      <w:pPr>
        <w:pStyle w:val="Heading2"/>
        <w:spacing w:after="160" w:before="280"/>
      </w:pPr>
      <w:r>
        <w:rPr>
          <w:rFonts w:ascii="Arial" w:cs="Arial" w:eastAsia="Arial" w:hAnsi="Arial"/>
          <w:b/>
          <w:bCs/>
          <w:color w:val="0F2044"/>
          <w:sz w:val="26"/>
          <w:szCs w:val="26"/>
        </w:rPr>
        <w:t xml:space="preserve">12.3 Acceptable Use</w:t>
      </w:r>
    </w:p>
    <w:p>
      <w:pPr>
        <w:pStyle w:val="ListParagraph"/>
        <w:numPr>
          <w:ilvl w:val="0"/>
          <w:numId w:val="2"/>
        </w:numPr>
        <w:spacing w:after="80"/>
      </w:pPr>
      <w:r>
        <w:rPr>
          <w:rFonts w:ascii="Arial" w:cs="Arial" w:eastAsia="Arial" w:hAnsi="Arial"/>
          <w:color w:val="111827"/>
          <w:sz w:val="22"/>
          <w:szCs w:val="22"/>
        </w:rPr>
        <w:t xml:space="preserve">Production data must not be copied to personal devices or unsecured storage</w:t>
      </w:r>
    </w:p>
    <w:p>
      <w:pPr>
        <w:pStyle w:val="ListParagraph"/>
        <w:numPr>
          <w:ilvl w:val="0"/>
          <w:numId w:val="2"/>
        </w:numPr>
        <w:spacing w:after="80"/>
      </w:pPr>
      <w:r>
        <w:rPr>
          <w:rFonts w:ascii="Arial" w:cs="Arial" w:eastAsia="Arial" w:hAnsi="Arial"/>
          <w:color w:val="111827"/>
          <w:sz w:val="22"/>
          <w:szCs w:val="22"/>
        </w:rPr>
        <w:t xml:space="preserve">Development and testing must use synthetic data or the designated sandbox environments</w:t>
      </w:r>
    </w:p>
    <w:p>
      <w:pPr>
        <w:pStyle w:val="ListParagraph"/>
        <w:numPr>
          <w:ilvl w:val="0"/>
          <w:numId w:val="2"/>
        </w:numPr>
        <w:spacing w:after="80"/>
      </w:pPr>
      <w:r>
        <w:rPr>
          <w:rFonts w:ascii="Arial" w:cs="Arial" w:eastAsia="Arial" w:hAnsi="Arial"/>
          <w:color w:val="111827"/>
          <w:sz w:val="22"/>
          <w:szCs w:val="22"/>
        </w:rPr>
        <w:t xml:space="preserve">Security incidents or suspected policy violations must be reported immediately</w:t>
      </w:r>
    </w:p>
    <w:p>
      <w:pPr>
        <w:pStyle w:val="Heading1"/>
        <w:spacing w:after="200" w:before="360"/>
      </w:pPr>
      <w:r>
        <w:rPr>
          <w:rFonts w:ascii="Arial" w:cs="Arial" w:eastAsia="Arial" w:hAnsi="Arial"/>
          <w:b/>
          <w:bCs/>
          <w:color w:val="0F2044"/>
          <w:sz w:val="32"/>
          <w:szCs w:val="32"/>
        </w:rPr>
        <w:t xml:space="preserve">13. Physical Security</w:t>
      </w:r>
    </w:p>
    <w:p>
      <w:pPr>
        <w:spacing w:after="160"/>
      </w:pPr>
      <w:r>
        <w:rPr>
          <w:rFonts w:ascii="Arial" w:cs="Arial" w:eastAsia="Arial" w:hAnsi="Arial"/>
          <w:color w:val="111827"/>
          <w:sz w:val="22"/>
          <w:szCs w:val="22"/>
        </w:rPr>
        <w:t xml:space="preserve">HandUp operates as a fully cloud-hosted platform with no on-premise infrastructure. Physical security is managed by our cloud providers:</w:t>
      </w:r>
    </w:p>
    <w:p>
      <w:pPr>
        <w:pStyle w:val="ListParagraph"/>
        <w:numPr>
          <w:ilvl w:val="0"/>
          <w:numId w:val="2"/>
        </w:numPr>
        <w:spacing w:after="80"/>
      </w:pPr>
      <w:r>
        <w:rPr>
          <w:rFonts w:ascii="Arial" w:cs="Arial" w:eastAsia="Arial" w:hAnsi="Arial"/>
          <w:color w:val="111827"/>
          <w:sz w:val="22"/>
          <w:szCs w:val="22"/>
        </w:rPr>
        <w:t xml:space="preserve">Railway: SOC 2-certified data centers with physical access controls, surveillance, and environmental protections</w:t>
      </w:r>
    </w:p>
    <w:p>
      <w:pPr>
        <w:pStyle w:val="ListParagraph"/>
        <w:numPr>
          <w:ilvl w:val="0"/>
          <w:numId w:val="2"/>
        </w:numPr>
        <w:spacing w:after="80"/>
      </w:pPr>
      <w:r>
        <w:rPr>
          <w:rFonts w:ascii="Arial" w:cs="Arial" w:eastAsia="Arial" w:hAnsi="Arial"/>
          <w:color w:val="111827"/>
          <w:sz w:val="22"/>
          <w:szCs w:val="22"/>
        </w:rPr>
        <w:t xml:space="preserve">No HandUp data is stored on local workstations or portable devices</w:t>
      </w:r>
    </w:p>
    <w:p>
      <w:pPr>
        <w:pStyle w:val="ListParagraph"/>
        <w:numPr>
          <w:ilvl w:val="0"/>
          <w:numId w:val="2"/>
        </w:numPr>
        <w:spacing w:after="80"/>
      </w:pPr>
      <w:r>
        <w:rPr>
          <w:rFonts w:ascii="Arial" w:cs="Arial" w:eastAsia="Arial" w:hAnsi="Arial"/>
          <w:color w:val="111827"/>
          <w:sz w:val="22"/>
          <w:szCs w:val="22"/>
        </w:rPr>
        <w:t xml:space="preserve">Development environments use sandbox/test data, never production customer data</w:t>
      </w:r>
    </w:p>
    <w:p>
      <w:pPr>
        <w:pStyle w:val="ListParagraph"/>
        <w:numPr>
          <w:ilvl w:val="0"/>
          <w:numId w:val="2"/>
        </w:numPr>
        <w:spacing w:after="80"/>
      </w:pPr>
      <w:r>
        <w:rPr>
          <w:rFonts w:ascii="Arial" w:cs="Arial" w:eastAsia="Arial" w:hAnsi="Arial"/>
          <w:color w:val="111827"/>
          <w:sz w:val="22"/>
          <w:szCs w:val="22"/>
        </w:rPr>
        <w:t xml:space="preserve">Workstations used for development must have full-disk encryption enabled and screen lock configured</w:t>
      </w:r>
    </w:p>
    <w:p>
      <w:pPr>
        <w:pStyle w:val="Heading1"/>
        <w:spacing w:after="200" w:before="360"/>
      </w:pPr>
      <w:r>
        <w:rPr>
          <w:rFonts w:ascii="Arial" w:cs="Arial" w:eastAsia="Arial" w:hAnsi="Arial"/>
          <w:b/>
          <w:bCs/>
          <w:color w:val="0F2044"/>
          <w:sz w:val="32"/>
          <w:szCs w:val="32"/>
        </w:rPr>
        <w:t xml:space="preserve">14. Policy Review and Updates</w:t>
      </w:r>
    </w:p>
    <w:p>
      <w:pPr>
        <w:pStyle w:val="ListParagraph"/>
        <w:numPr>
          <w:ilvl w:val="0"/>
          <w:numId w:val="2"/>
        </w:numPr>
        <w:spacing w:after="80"/>
      </w:pPr>
      <w:r>
        <w:rPr>
          <w:rFonts w:ascii="Arial" w:cs="Arial" w:eastAsia="Arial" w:hAnsi="Arial"/>
          <w:color w:val="111827"/>
          <w:sz w:val="22"/>
          <w:szCs w:val="22"/>
        </w:rPr>
        <w:t xml:space="preserve">This policy is reviewed and updated at least annually, or more frequently when significant changes occur to the platform, regulatory environment, or threat landscape</w:t>
      </w:r>
    </w:p>
    <w:p>
      <w:pPr>
        <w:pStyle w:val="ListParagraph"/>
        <w:numPr>
          <w:ilvl w:val="0"/>
          <w:numId w:val="2"/>
        </w:numPr>
        <w:spacing w:after="80"/>
      </w:pPr>
      <w:r>
        <w:rPr>
          <w:rFonts w:ascii="Arial" w:cs="Arial" w:eastAsia="Arial" w:hAnsi="Arial"/>
          <w:color w:val="111827"/>
          <w:sz w:val="22"/>
          <w:szCs w:val="22"/>
        </w:rPr>
        <w:t xml:space="preserve">All material changes are documented in the Version History section</w:t>
      </w:r>
    </w:p>
    <w:p>
      <w:pPr>
        <w:pStyle w:val="ListParagraph"/>
        <w:numPr>
          <w:ilvl w:val="0"/>
          <w:numId w:val="2"/>
        </w:numPr>
        <w:spacing w:after="80"/>
      </w:pPr>
      <w:r>
        <w:rPr>
          <w:rFonts w:ascii="Arial" w:cs="Arial" w:eastAsia="Arial" w:hAnsi="Arial"/>
          <w:color w:val="111827"/>
          <w:sz w:val="22"/>
          <w:szCs w:val="22"/>
        </w:rPr>
        <w:t xml:space="preserve">Policy changes are communicated to all affected personnel within 5 business days of approval</w:t>
      </w:r>
    </w:p>
    <w:p>
      <w:pPr>
        <w:pStyle w:val="ListParagraph"/>
        <w:numPr>
          <w:ilvl w:val="0"/>
          <w:numId w:val="2"/>
        </w:numPr>
        <w:spacing w:after="80"/>
      </w:pPr>
      <w:r>
        <w:rPr>
          <w:rFonts w:ascii="Arial" w:cs="Arial" w:eastAsia="Arial" w:hAnsi="Arial"/>
          <w:color w:val="111827"/>
          <w:sz w:val="22"/>
          <w:szCs w:val="22"/>
        </w:rPr>
        <w:t xml:space="preserve">The security lead is responsible for maintaining and enforcing this policy</w:t>
      </w:r>
    </w:p>
    <w:p>
      <w:pPr>
        <w:pStyle w:val="Heading1"/>
        <w:spacing w:after="200" w:before="360"/>
      </w:pPr>
      <w:r>
        <w:rPr>
          <w:rFonts w:ascii="Arial" w:cs="Arial" w:eastAsia="Arial" w:hAnsi="Arial"/>
          <w:b/>
          <w:bCs/>
          <w:color w:val="0F2044"/>
          <w:sz w:val="32"/>
          <w:szCs w:val="32"/>
        </w:rPr>
        <w:t xml:space="preserve">15. Regulatory Compliance</w:t>
      </w:r>
    </w:p>
    <w:p>
      <w:pPr>
        <w:pStyle w:val="Heading2"/>
        <w:spacing w:after="160" w:before="280"/>
      </w:pPr>
      <w:r>
        <w:rPr>
          <w:rFonts w:ascii="Arial" w:cs="Arial" w:eastAsia="Arial" w:hAnsi="Arial"/>
          <w:b/>
          <w:bCs/>
          <w:color w:val="0F2044"/>
          <w:sz w:val="26"/>
          <w:szCs w:val="26"/>
        </w:rPr>
        <w:t xml:space="preserve">15.1 Gramm-Leach-Bliley Act (GLBA)</w:t>
      </w:r>
    </w:p>
    <w:p>
      <w:pPr>
        <w:spacing w:after="160"/>
      </w:pPr>
      <w:r>
        <w:rPr>
          <w:rFonts w:ascii="Arial" w:cs="Arial" w:eastAsia="Arial" w:hAnsi="Arial"/>
          <w:color w:val="111827"/>
          <w:sz w:val="22"/>
          <w:szCs w:val="22"/>
        </w:rPr>
        <w:t xml:space="preserve">As a platform that facilitates financial transactions between individuals, HandUp implements safeguards consistent with GLBA requirements for the protection of consumer financial information. This includes encryption of financial data, access controls, and third-party vendor oversight.</w:t>
      </w:r>
    </w:p>
    <w:p>
      <w:pPr>
        <w:pStyle w:val="Heading2"/>
        <w:spacing w:after="160" w:before="280"/>
      </w:pPr>
      <w:r>
        <w:rPr>
          <w:rFonts w:ascii="Arial" w:cs="Arial" w:eastAsia="Arial" w:hAnsi="Arial"/>
          <w:b/>
          <w:bCs/>
          <w:color w:val="0F2044"/>
          <w:sz w:val="26"/>
          <w:szCs w:val="26"/>
        </w:rPr>
        <w:t xml:space="preserve">15.2 Fair Credit Reporting Act (FCRA)</w:t>
      </w:r>
    </w:p>
    <w:p>
      <w:pPr>
        <w:spacing w:after="160"/>
      </w:pPr>
      <w:r>
        <w:rPr>
          <w:rFonts w:ascii="Arial" w:cs="Arial" w:eastAsia="Arial" w:hAnsi="Arial"/>
          <w:color w:val="111827"/>
          <w:sz w:val="22"/>
          <w:szCs w:val="22"/>
        </w:rPr>
        <w:t xml:space="preserve">HandUp offers optional credit bureau reporting for loan payment history. When credit reporting is enabled, HandUp acts as a data furnisher and complies with FCRA requirements including accuracy of reported data, dispute resolution procedures, and consumer notification obligations.</w:t>
      </w:r>
    </w:p>
    <w:p>
      <w:pPr>
        <w:pStyle w:val="Heading2"/>
        <w:spacing w:after="160" w:before="280"/>
      </w:pPr>
      <w:r>
        <w:rPr>
          <w:rFonts w:ascii="Arial" w:cs="Arial" w:eastAsia="Arial" w:hAnsi="Arial"/>
          <w:b/>
          <w:bCs/>
          <w:color w:val="0F2044"/>
          <w:sz w:val="26"/>
          <w:szCs w:val="26"/>
        </w:rPr>
        <w:t xml:space="preserve">15.3 State Money Transmitter Regulations</w:t>
      </w:r>
    </w:p>
    <w:p>
      <w:pPr>
        <w:spacing w:after="160"/>
      </w:pPr>
      <w:r>
        <w:rPr>
          <w:rFonts w:ascii="Arial" w:cs="Arial" w:eastAsia="Arial" w:hAnsi="Arial"/>
          <w:color w:val="111827"/>
          <w:sz w:val="22"/>
          <w:szCs w:val="22"/>
        </w:rPr>
        <w:t xml:space="preserve">HandUp facilitates ACH payments between borrowers and lenders through licensed third-party payment processors (Dwolla). HandUp does not hold, transmit, or control customer funds directly. Compliance with state money transmitter licensing requirements is maintained through the use of licensed payment infrastructure partners.</w:t>
      </w:r>
    </w:p>
    <w:p>
      <w:pPr>
        <w:pStyle w:val="Heading2"/>
        <w:spacing w:after="160" w:before="280"/>
      </w:pPr>
      <w:r>
        <w:rPr>
          <w:rFonts w:ascii="Arial" w:cs="Arial" w:eastAsia="Arial" w:hAnsi="Arial"/>
          <w:b/>
          <w:bCs/>
          <w:color w:val="0F2044"/>
          <w:sz w:val="26"/>
          <w:szCs w:val="26"/>
        </w:rPr>
        <w:t xml:space="preserve">15.4 State Data Breach Notification Laws</w:t>
      </w:r>
    </w:p>
    <w:p>
      <w:pPr>
        <w:spacing w:after="160"/>
      </w:pPr>
      <w:r>
        <w:rPr>
          <w:rFonts w:ascii="Arial" w:cs="Arial" w:eastAsia="Arial" w:hAnsi="Arial"/>
          <w:color w:val="111827"/>
          <w:sz w:val="22"/>
          <w:szCs w:val="22"/>
        </w:rPr>
        <w:t xml:space="preserve">HandUp complies with all applicable state data breach notification laws. In the event of a confirmed breach involving personally identifiable information, affected individuals and relevant regulatory authorities are notified within the timeframes required by applicable state law, and in no case later than 72 hours after confirmation of the breach.</w:t>
      </w:r>
    </w:p>
    <w:p>
      <w:pPr>
        <w:spacing w:before="600"/>
      </w:pPr>
    </w:p>
    <w:p>
      <w:pPr>
        <w:pBdr>
          <w:top w:val="single" w:color="0F2044" w:sz="2" w:space="12"/>
        </w:pBdr>
        <w:spacing w:after="200"/>
        <w:jc w:val="center"/>
      </w:pPr>
      <w:r>
        <w:rPr>
          <w:rFonts w:ascii="Arial" w:cs="Arial" w:eastAsia="Arial" w:hAnsi="Arial"/>
          <w:i/>
          <w:iCs/>
          <w:color w:val="6B7280"/>
          <w:sz w:val="20"/>
          <w:szCs w:val="20"/>
        </w:rPr>
        <w:t xml:space="preserve">End of Document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8"/>
        <w:szCs w:val="18"/>
      </w:rPr>
      <w:t xml:space="preserve">Confidential — Page </w:t>
    </w:r>
    <w:r>
      <w:rPr>
        <w:rFonts w:ascii="Arial" w:cs="Arial" w:eastAsia="Arial" w:hAnsi="Arial"/>
        <w:color w:val="6B7280"/>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6B7280"/>
        <w:sz w:val="18"/>
        <w:szCs w:val="18"/>
      </w:rPr>
      <w:t xml:space="preserve">HandUp — Information Security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0F2044"/>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0F204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2026-04-12T05:03:14.532Z</dcterms:created>
  <dcterms:modified xsi:type="dcterms:W3CDTF">2026-04-12T05:03:14.534Z</dcterms:modified>
</cp:coreProperties>
</file>

<file path=docProps/custom.xml><?xml version="1.0" encoding="utf-8"?>
<Properties xmlns="http://schemas.openxmlformats.org/officeDocument/2006/custom-properties" xmlns:vt="http://schemas.openxmlformats.org/officeDocument/2006/docPropsVTypes"/>
</file>